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00629B" w:val="clear"/>
            <w:tcMar>
              <w:top w:type="dxa" w:w="240"/>
              <w:left w:type="dxa" w:w="280"/>
              <w:bottom w:type="dxa" w:w="240"/>
              <w:right w:type="dxa" w:w="280"/>
            </w:tcMar>
          </w:tcPr>
          <w:p>
            <w:pPr>
              <w:spacing w:after="60" w:before="0"/>
              <w:jc w:val="center"/>
            </w:pPr>
            <w:r>
              <w:rPr>
                <w:rFonts w:ascii="Arial" w:cs="Arial" w:eastAsia="Arial" w:hAnsi="Arial"/>
                <w:b/>
                <w:bCs/>
                <w:color w:val="FFFFFF"/>
                <w:sz w:val="24"/>
                <w:szCs w:val="24"/>
              </w:rPr>
              <w:t xml:space="preserve">UNICEF Colombia</w:t>
            </w:r>
          </w:p>
          <w:p>
            <w:pPr>
              <w:spacing w:after="80" w:before="0"/>
              <w:jc w:val="center"/>
            </w:pPr>
            <w:r>
              <w:rPr>
                <w:rFonts w:ascii="Arial" w:cs="Arial" w:eastAsia="Arial" w:hAnsi="Arial"/>
                <w:color w:val="BDE8F7"/>
                <w:sz w:val="24"/>
                <w:szCs w:val="24"/>
              </w:rPr>
              <w:t xml:space="preserve">Modelo de Sistema Local de Cuidados y Apoyos Inclusivos</w:t>
            </w:r>
          </w:p>
          <w:p>
            <w:pPr>
              <w:spacing w:after="0" w:before="0"/>
              <w:jc w:val="center"/>
            </w:pPr>
            <w:r>
              <w:rPr>
                <w:rFonts w:ascii="Arial" w:cs="Arial" w:eastAsia="Arial" w:hAnsi="Arial"/>
                <w:color w:val="5CB8DC"/>
                <w:sz w:val="20"/>
                <w:szCs w:val="20"/>
              </w:rPr>
              <w:t xml:space="preserve">─────────────────────────────────────────</w:t>
            </w:r>
          </w:p>
        </w:tc>
      </w:tr>
    </w:tbl>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1CABE2" w:val="clear"/>
            <w:tcMar>
              <w:top w:type="dxa" w:w="320"/>
              <w:left w:type="dxa" w:w="280"/>
              <w:bottom w:type="dxa" w:w="320"/>
              <w:right w:type="dxa" w:w="280"/>
            </w:tcMar>
          </w:tcPr>
          <w:p>
            <w:pPr>
              <w:spacing w:after="120" w:before="0"/>
              <w:jc w:val="center"/>
            </w:pPr>
            <w:r>
              <w:rPr>
                <w:rFonts w:ascii="Arial" w:cs="Arial" w:eastAsia="Arial" w:hAnsi="Arial"/>
                <w:b/>
                <w:bCs/>
                <w:color w:val="FFFFFF"/>
                <w:sz w:val="32"/>
                <w:szCs w:val="32"/>
              </w:rPr>
              <w:t xml:space="preserve">GUÍA PARA LA ARTICULACIÓN DEL</w:t>
            </w:r>
          </w:p>
          <w:p>
            <w:pPr>
              <w:spacing w:after="120" w:before="0"/>
              <w:jc w:val="center"/>
            </w:pPr>
            <w:r>
              <w:rPr>
                <w:rFonts w:ascii="Arial" w:cs="Arial" w:eastAsia="Arial" w:hAnsi="Arial"/>
                <w:b/>
                <w:bCs/>
                <w:color w:val="FFFFFF"/>
                <w:sz w:val="36"/>
                <w:szCs w:val="36"/>
              </w:rPr>
              <w:t xml:space="preserve">MODELO DE GESTIÓN LOCAL DE CUIDADOS Y APOYOS</w:t>
            </w:r>
          </w:p>
          <w:p>
            <w:pPr>
              <w:spacing w:after="80" w:before="0"/>
              <w:jc w:val="center"/>
            </w:pPr>
            <w:r>
              <w:rPr>
                <w:rFonts w:ascii="Arial" w:cs="Arial" w:eastAsia="Arial" w:hAnsi="Arial"/>
                <w:b/>
                <w:bCs/>
                <w:color w:val="FFC20E"/>
                <w:sz w:val="36"/>
                <w:szCs w:val="36"/>
              </w:rPr>
              <w:t xml:space="preserve">CON VENTANILLAS ÚNICAS SOCIALES</w:t>
            </w:r>
          </w:p>
          <w:p>
            <w:pPr>
              <w:spacing w:after="0" w:before="0"/>
              <w:jc w:val="center"/>
            </w:pPr>
            <w:r>
              <w:rPr>
                <w:rFonts w:ascii="Arial" w:cs="Arial" w:eastAsia="Arial" w:hAnsi="Arial"/>
                <w:i/>
                <w:iCs/>
                <w:color w:val="BDE8F7"/>
                <w:sz w:val="22"/>
                <w:szCs w:val="22"/>
              </w:rPr>
              <w:t xml:space="preserve">Estrategias de acceso, inclusión y reconocimiento de cuidado</w:t>
            </w:r>
          </w:p>
        </w:tc>
      </w:tr>
    </w:tbl>
    <w:p>
      <w:pPr>
        <w:spacing w:after="0" w:before="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none" w:color="FFFFFF" w:sz="0"/>
              <w:left w:val="none" w:color="FFFFFF" w:sz="0"/>
              <w:bottom w:val="none" w:color="FFFFFF" w:sz="0"/>
              <w:right w:val="none" w:color="FFFFFF" w:sz="0"/>
            </w:tcBorders>
            <w:shd w:fill="F5F5F5" w:val="clear"/>
            <w:tcMar>
              <w:top w:type="dxa" w:w="120"/>
              <w:left w:type="dxa" w:w="160"/>
              <w:bottom w:type="dxa" w:w="120"/>
              <w:right w:type="dxa" w:w="80"/>
            </w:tcMar>
          </w:tcPr>
          <w:p>
            <w:pPr>
              <w:spacing w:after="40" w:before="0"/>
            </w:pPr>
            <w:r>
              <w:rPr>
                <w:rFonts w:ascii="Arial" w:cs="Arial" w:eastAsia="Arial" w:hAnsi="Arial"/>
                <w:b/>
                <w:bCs/>
                <w:color w:val="00629B"/>
                <w:sz w:val="22"/>
                <w:szCs w:val="22"/>
              </w:rPr>
              <w:t xml:space="preserve">Dirigida a:</w:t>
            </w:r>
          </w:p>
          <w:p>
            <w:pPr>
              <w:spacing w:after="20" w:before="0"/>
            </w:pPr>
            <w:r>
              <w:rPr>
                <w:rFonts w:ascii="Arial" w:cs="Arial" w:eastAsia="Arial" w:hAnsi="Arial"/>
                <w:color w:val="444444"/>
                <w:sz w:val="20"/>
                <w:szCs w:val="20"/>
              </w:rPr>
              <w:t xml:space="preserve">▸  Equipos técnicos municipales</w:t>
            </w:r>
          </w:p>
          <w:p>
            <w:pPr>
              <w:spacing w:after="20" w:before="0"/>
            </w:pPr>
            <w:r>
              <w:rPr>
                <w:rFonts w:ascii="Arial" w:cs="Arial" w:eastAsia="Arial" w:hAnsi="Arial"/>
                <w:color w:val="444444"/>
                <w:sz w:val="20"/>
                <w:szCs w:val="20"/>
              </w:rPr>
              <w:t xml:space="preserve">▸  Secretarías de Desarrollo Social</w:t>
            </w:r>
          </w:p>
          <w:p>
            <w:pPr>
              <w:spacing w:after="20" w:before="0"/>
            </w:pPr>
            <w:r>
              <w:rPr>
                <w:rFonts w:ascii="Arial" w:cs="Arial" w:eastAsia="Arial" w:hAnsi="Arial"/>
                <w:color w:val="444444"/>
                <w:sz w:val="20"/>
                <w:szCs w:val="20"/>
              </w:rPr>
              <w:t xml:space="preserve">▸  Asesores territoriales y multiplicadores</w:t>
            </w:r>
          </w:p>
          <w:p>
            <w:pPr>
              <w:spacing w:after="20" w:before="0"/>
            </w:pPr>
            <w:r>
              <w:rPr>
                <w:rFonts w:ascii="Arial" w:cs="Arial" w:eastAsia="Arial" w:hAnsi="Arial"/>
                <w:color w:val="444444"/>
                <w:sz w:val="20"/>
                <w:szCs w:val="20"/>
              </w:rPr>
              <w:t xml:space="preserve">▸  Operadores de Ventanillas Únicas</w:t>
            </w:r>
          </w:p>
        </w:tc>
        <w:tc>
          <w:tcPr>
            <w:tcW w:type="dxa" w:w="4819"/>
            <w:tcBorders>
              <w:top w:val="none" w:color="FFFFFF" w:sz="0"/>
              <w:left w:val="none" w:color="FFFFFF" w:sz="0"/>
              <w:bottom w:val="none" w:color="FFFFFF" w:sz="0"/>
              <w:right w:val="none" w:color="FFFFFF" w:sz="0"/>
            </w:tcBorders>
            <w:shd w:fill="F5F5F5" w:val="clear"/>
            <w:tcMar>
              <w:top w:type="dxa" w:w="120"/>
              <w:left w:type="dxa" w:w="80"/>
              <w:bottom w:type="dxa" w:w="120"/>
              <w:right w:type="dxa" w:w="160"/>
            </w:tcMar>
          </w:tcPr>
          <w:p>
            <w:pPr>
              <w:spacing w:after="40" w:before="0"/>
            </w:pPr>
            <w:r>
              <w:rPr>
                <w:rFonts w:ascii="Arial" w:cs="Arial" w:eastAsia="Arial" w:hAnsi="Arial"/>
                <w:b/>
                <w:bCs/>
                <w:color w:val="00629B"/>
                <w:sz w:val="22"/>
                <w:szCs w:val="22"/>
              </w:rPr>
              <w:t xml:space="preserve">Propósito:</w:t>
            </w:r>
          </w:p>
          <w:p>
            <w:pPr>
              <w:spacing w:after="0" w:before="0"/>
              <w:jc w:val="both"/>
            </w:pPr>
            <w:r>
              <w:rPr>
                <w:rFonts w:ascii="Arial" w:cs="Arial" w:eastAsia="Arial" w:hAnsi="Arial"/>
                <w:color w:val="444444"/>
                <w:sz w:val="20"/>
                <w:szCs w:val="20"/>
              </w:rPr>
              <w:t xml:space="preserve">Orientar la articulación operativa entre el Modelo de gestión local de cuidados y apoyos para las personas con discapacidad, sus familias y cuidadores, y los sistemas de ventanilla única de protección social a nivel nacional y territorial.</w:t>
            </w:r>
          </w:p>
        </w:tc>
      </w:tr>
    </w:tbl>
    <w:p>
      <w:pPr>
        <w:spacing w:after="0" w:before="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00629B" w:val="clear"/>
            <w:tcMar>
              <w:top w:type="dxa" w:w="80"/>
              <w:left w:type="dxa" w:w="280"/>
              <w:bottom w:type="dxa" w:w="80"/>
              <w:right w:type="dxa" w:w="280"/>
            </w:tcMar>
          </w:tcPr>
          <w:p>
            <w:pPr>
              <w:spacing w:after="0" w:before="0"/>
              <w:jc w:val="center"/>
            </w:pPr>
            <w:r>
              <w:rPr>
                <w:rFonts w:ascii="Arial" w:cs="Arial" w:eastAsia="Arial" w:hAnsi="Arial"/>
                <w:color w:val="FFFFFF"/>
                <w:sz w:val="22"/>
                <w:szCs w:val="22"/>
              </w:rPr>
              <w:t xml:space="preserve">Colombia, 2025</w:t>
            </w:r>
          </w:p>
        </w:tc>
      </w:tr>
    </w:tbl>
    <w:p>
      <w:r>
        <w:br w:type="page"/>
      </w:r>
    </w:p>
    <w:p>
      <w:pPr>
        <w:pStyle w:val="Heading1"/>
        <w:spacing w:after="120" w:before="240"/>
      </w:pPr>
      <w:r>
        <w:rPr>
          <w:rFonts w:ascii="Arial" w:cs="Arial" w:eastAsia="Arial" w:hAnsi="Arial"/>
          <w:b/>
          <w:bCs/>
          <w:color w:val="00629B"/>
          <w:sz w:val="32"/>
          <w:szCs w:val="32"/>
        </w:rPr>
        <w:t xml:space="preserve">Presentación</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444444"/>
          <w:sz w:val="22"/>
          <w:szCs w:val="22"/>
        </w:rPr>
        <w:t xml:space="preserve">Esta guía orienta a los equipos técnicos municipales, departamentales y a los asesores territoriales del Modelo de Sistema Local de Cuidados y Apoyos Inclusivos de UNICEF Colombia, en la articulación con las Ventanillas Únicas Sociales del Registro Social de Hogares (en adelante, Ventanilla Única) y con las Oficinas de Servicio al Ciudadano de las entidades públicas.</w:t>
      </w:r>
    </w:p>
    <w:p>
      <w:pPr>
        <w:spacing w:after="60" w:before="60"/>
        <w:jc w:val="both"/>
      </w:pPr>
      <w:r>
        <w:rPr>
          <w:rFonts w:ascii="Arial" w:cs="Arial" w:eastAsia="Arial" w:hAnsi="Arial"/>
          <w:b w:val="false"/>
          <w:bCs w:val="false"/>
          <w:i w:val="false"/>
          <w:iCs w:val="false"/>
          <w:color w:val="444444"/>
          <w:sz w:val="22"/>
          <w:szCs w:val="22"/>
        </w:rPr>
        <w:t xml:space="preserve">El Modelo propone una arquitectura de gestión local que requiere, para su sostenibilidad e impacto, conectarse con la infraestructura de acceso a protección social ya existente en los territorios. Las Ventanillas Únicas Sociales —impulsadas por el Departamento Nacional de Planeación como estrategia para territorializar el Sistema de Protección Social— constituyen el punto de entrada más idóneo para asegurar que las personas con discapacidad, sus familias y cuidadores sean identificadas, registradas y vinculadas efectivamente a la oferta disponible.</w:t>
      </w:r>
    </w:p>
    <w:p>
      <w:pPr>
        <w:spacing w:after="60" w:before="60"/>
        <w:jc w:val="both"/>
      </w:pPr>
      <w:r>
        <w:rPr>
          <w:rFonts w:ascii="Arial" w:cs="Arial" w:eastAsia="Arial" w:hAnsi="Arial"/>
          <w:b w:val="false"/>
          <w:bCs w:val="false"/>
          <w:i w:val="false"/>
          <w:iCs w:val="false"/>
          <w:color w:val="444444"/>
          <w:sz w:val="22"/>
          <w:szCs w:val="22"/>
        </w:rPr>
        <w:t xml:space="preserve">La guía está estructurada en cinco partes: marco conceptual de las Ventanillas Únicas Sociales; enfoque de inclusión y género que debe orientar su implementación; articulación con el Modelo local de cuidados y apoyos; pasos concretos para la articulación a nivel nacional y territorial; y estándares de servicio al ciudadano aplicables a esta población.</w:t>
      </w:r>
    </w:p>
    <w:p>
      <w:r>
        <w:br w:type="page"/>
      </w:r>
    </w:p>
    <w:p>
      <w:pPr>
        <w:pStyle w:val="Heading1"/>
        <w:spacing w:after="120" w:before="240"/>
      </w:pPr>
      <w:r>
        <w:rPr>
          <w:rFonts w:ascii="Arial" w:cs="Arial" w:eastAsia="Arial" w:hAnsi="Arial"/>
          <w:b/>
          <w:bCs/>
          <w:color w:val="00629B"/>
          <w:sz w:val="32"/>
          <w:szCs w:val="32"/>
        </w:rPr>
        <w:t xml:space="preserve">1. Marco conceptual: ¿qué son las Ventanillas Únicas Sociales?</w:t>
      </w:r>
    </w:p>
    <w:p>
      <w:pPr>
        <w:pBdr>
          <w:bottom w:val="single" w:color="1CABE2" w:sz="12" w:space="1"/>
        </w:pBdr>
        <w:spacing w:after="40" w:before="0"/>
      </w:pPr>
    </w:p>
    <w:p>
      <w:pPr>
        <w:pStyle w:val="Heading2"/>
        <w:spacing w:after="80" w:before="200"/>
      </w:pPr>
      <w:r>
        <w:rPr>
          <w:rFonts w:ascii="Arial" w:cs="Arial" w:eastAsia="Arial" w:hAnsi="Arial"/>
          <w:b/>
          <w:bCs/>
          <w:color w:val="1CABE2"/>
          <w:sz w:val="26"/>
          <w:szCs w:val="26"/>
        </w:rPr>
        <w:t xml:space="preserve">1.1 Definición y propósito</w:t>
      </w:r>
    </w:p>
    <w:p>
      <w:pPr>
        <w:spacing w:after="60" w:before="60"/>
        <w:jc w:val="both"/>
      </w:pPr>
      <w:r>
        <w:rPr>
          <w:rFonts w:ascii="Arial" w:cs="Arial" w:eastAsia="Arial" w:hAnsi="Arial"/>
          <w:b w:val="false"/>
          <w:bCs w:val="false"/>
          <w:i w:val="false"/>
          <w:iCs w:val="false"/>
          <w:color w:val="444444"/>
          <w:sz w:val="22"/>
          <w:szCs w:val="22"/>
        </w:rPr>
        <w:t xml:space="preserve">Las Ventanillas Únicas de Servicios Sociales son puntos de contacto a nivel local —distrital, municipal o de localidad— donde se integran servicios sociales para que los potenciales beneficiarios de programas de protección social puedan ser identificados, orientados, postulados y vinculados a la oferta disponible de manera coordinada y en un solo lugar.</w:t>
      </w:r>
    </w:p>
    <w:tbl>
      <w:tblPr>
        <w:tblW w:type="dxa" w:w="9638"/>
        <w:tblBorders>
          <w:top w:val="single" w:color="auto" w:sz="4"/>
          <w:left w:val="single" w:color="auto" w:sz="4"/>
          <w:bottom w:val="single" w:color="auto" w:sz="4"/>
          <w:right w:val="single" w:color="auto" w:sz="4"/>
          <w:insideH w:val="single" w:color="auto" w:sz="4"/>
          <w:insideV w:val="single" w:color="auto" w:sz="4"/>
        </w:tblBorders>
        <w:tblCellMar>
          <w:top w:type="dxa" w:w="0"/>
        </w:tblCellMar>
      </w:tblPr>
      <w:tblGrid>
        <w:gridCol w:w="9638"/>
      </w:tblGrid>
      <w:tr>
        <w:tc>
          <w:tcPr>
            <w:tcW w:type="dxa" w:w="9638"/>
            <w:tcBorders>
              <w:top w:val="none" w:color="FFFFFF" w:sz="0"/>
              <w:left w:val="none" w:color="FFFFFF" w:sz="0"/>
              <w:bottom w:val="none" w:color="FFFFFF" w:sz="0"/>
              <w:right w:val="none" w:color="FFFFFF" w:sz="0"/>
            </w:tcBorders>
            <w:shd w:fill="374EA2" w:val="clear"/>
            <w:tcMar>
              <w:top w:type="dxa" w:w="80"/>
              <w:left w:type="dxa" w:w="160"/>
              <w:bottom w:type="dxa" w:w="80"/>
              <w:right w:type="dxa" w:w="160"/>
            </w:tcMar>
          </w:tcPr>
          <w:p>
            <w:pPr>
              <w:spacing w:after="0" w:before="0"/>
            </w:pPr>
            <w:r>
              <w:rPr>
                <w:rFonts w:ascii="Arial" w:cs="Arial" w:eastAsia="Arial" w:hAnsi="Arial"/>
                <w:b/>
                <w:bCs/>
                <w:color w:val="FFFFFF"/>
                <w:sz w:val="22"/>
                <w:szCs w:val="22"/>
              </w:rPr>
              <w:t xml:space="preserve">Marco normativo colombiano</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Ley 2294 de 2023 (Plan Nacional de Desarrollo 2022-2026): crea el Registro Universal de Ingresos (artículo 70) y establece el Registro Social de Hogares como fuente principal de información para la focalización social.</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Decreto Legislativo 812 de 2020: encarga al Departamento Nacional de Planeación la creación, administración e implementación del Registro Social de Hogares.</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Decreto 890 de 2022: reglamenta la operación del Registro Social de Hogares.</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Decreto 0875 de 2024: reglamenta el artículo 70 de la Ley 2294, estableciendo el Registro Universal de Ingresos como único mecanismo de focalización del estado.</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Artículo 13 de la Constitución Política: obliga al Estado a promover condiciones para la igualdad real y la protección de grupos discriminados o marginados.</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Artículo 2 de la Constitución Política: el servicio a la comunidad como fin esencial del Estado.</w:t>
            </w:r>
          </w:p>
        </w:tc>
      </w:tr>
    </w:tbl>
    <w:p>
      <w:pPr>
        <w:spacing w:after="0" w:before="120"/>
      </w:pPr>
    </w:p>
    <w:p>
      <w:pPr>
        <w:pStyle w:val="Heading2"/>
        <w:spacing w:after="80" w:before="200"/>
      </w:pPr>
      <w:r>
        <w:rPr>
          <w:rFonts w:ascii="Arial" w:cs="Arial" w:eastAsia="Arial" w:hAnsi="Arial"/>
          <w:b/>
          <w:bCs/>
          <w:color w:val="1CABE2"/>
          <w:sz w:val="26"/>
          <w:szCs w:val="26"/>
        </w:rPr>
        <w:t xml:space="preserve">1.2 Funciones centrales de la Ventanilla Única Social</w:t>
      </w:r>
    </w:p>
    <w:p>
      <w:pPr>
        <w:spacing w:after="60" w:before="60"/>
        <w:jc w:val="both"/>
      </w:pPr>
      <w:r>
        <w:rPr>
          <w:rFonts w:ascii="Arial" w:cs="Arial" w:eastAsia="Arial" w:hAnsi="Arial"/>
          <w:b w:val="false"/>
          <w:bCs w:val="false"/>
          <w:i w:val="false"/>
          <w:iCs w:val="false"/>
          <w:color w:val="444444"/>
          <w:sz w:val="22"/>
          <w:szCs w:val="22"/>
        </w:rPr>
        <w:t xml:space="preserve">Según el diseño del Departamento Nacional de Planeación (2024), la Ventanilla Única del Registro Social de Hogares cumple las siguientes funciones integradas: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84"/>
        <w:gridCol w:w="6554"/>
      </w:tblGrid>
      <w:tr>
        <w:tc>
          <w:tcPr>
            <w:tcW w:type="dxa" w:w="3084"/>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Función</w:t>
            </w:r>
          </w:p>
        </w:tc>
        <w:tc>
          <w:tcPr>
            <w:tcW w:type="dxa" w:w="6554"/>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Descripción</w:t>
            </w:r>
          </w:p>
        </w:tc>
      </w:tr>
      <w:tr>
        <w:tc>
          <w:tcPr>
            <w:tcW w:type="dxa" w:w="3084"/>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444444"/>
                <w:sz w:val="21"/>
                <w:szCs w:val="21"/>
              </w:rPr>
              <w:t xml:space="preserve">Registro y declaración</w:t>
            </w:r>
          </w:p>
        </w:tc>
        <w:tc>
          <w:tcPr>
            <w:tcW w:type="dxa" w:w="6554"/>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Aplicar encuestas a población sin información en registros administrativos; declarar y actualizar información socioeconómica del hogar.</w:t>
            </w:r>
          </w:p>
        </w:tc>
      </w:tr>
      <w:tr>
        <w:tc>
          <w:tcPr>
            <w:tcW w:type="dxa" w:w="3084"/>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444444"/>
                <w:sz w:val="21"/>
                <w:szCs w:val="21"/>
              </w:rPr>
              <w:t xml:space="preserve">Identificación de elegibilidad</w:t>
            </w:r>
          </w:p>
        </w:tc>
        <w:tc>
          <w:tcPr>
            <w:tcW w:type="dxa" w:w="6554"/>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Consultar información del Registro Social de Hogares para determinar a qué programas sociales aplica el hogar o persona.</w:t>
            </w:r>
          </w:p>
        </w:tc>
      </w:tr>
      <w:tr>
        <w:tc>
          <w:tcPr>
            <w:tcW w:type="dxa" w:w="3084"/>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444444"/>
                <w:sz w:val="21"/>
                <w:szCs w:val="21"/>
              </w:rPr>
              <w:t xml:space="preserve">Postulación a oferta</w:t>
            </w:r>
          </w:p>
        </w:tc>
        <w:tc>
          <w:tcPr>
            <w:tcW w:type="dxa" w:w="6554"/>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Informar sobre la oferta disponible, obtener autorización del usuario e inscribirlo a los programas para los que es elegible.</w:t>
            </w:r>
          </w:p>
        </w:tc>
      </w:tr>
      <w:tr>
        <w:tc>
          <w:tcPr>
            <w:tcW w:type="dxa" w:w="3084"/>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444444"/>
                <w:sz w:val="21"/>
                <w:szCs w:val="21"/>
              </w:rPr>
              <w:t xml:space="preserve">Asignación y seguimiento</w:t>
            </w:r>
          </w:p>
        </w:tc>
        <w:tc>
          <w:tcPr>
            <w:tcW w:type="dxa" w:w="6554"/>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Facilitar la revisión por parte de la entidad ejecutora, la asignación del beneficio y la notificación al usuario; retroalimentar el Registro Social de Hogares.</w:t>
            </w:r>
          </w:p>
        </w:tc>
      </w:tr>
      <w:tr>
        <w:tc>
          <w:tcPr>
            <w:tcW w:type="dxa" w:w="3084"/>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444444"/>
                <w:sz w:val="21"/>
                <w:szCs w:val="21"/>
              </w:rPr>
              <w:t xml:space="preserve">Orientación y derivación</w:t>
            </w:r>
          </w:p>
        </w:tc>
        <w:tc>
          <w:tcPr>
            <w:tcW w:type="dxa" w:w="6554"/>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Asesorar a las personas sobre rutas de acceso, documentación requerida y otros servicios en el municipio o departamento.</w:t>
            </w:r>
          </w:p>
        </w:tc>
      </w:tr>
      <w:tr>
        <w:tc>
          <w:tcPr>
            <w:tcW w:type="dxa" w:w="3084"/>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444444"/>
                <w:sz w:val="21"/>
                <w:szCs w:val="21"/>
              </w:rPr>
              <w:t xml:space="preserve">Actualización de información</w:t>
            </w:r>
          </w:p>
        </w:tc>
        <w:tc>
          <w:tcPr>
            <w:tcW w:type="dxa" w:w="6554"/>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Permitir a las personas complementar o corregir su información socioeconómica cuando los registros administrativos sean insuficientes o inexactos.</w:t>
            </w:r>
          </w:p>
        </w:tc>
      </w:tr>
    </w:tbl>
    <w:p>
      <w:pPr>
        <w:spacing w:after="0" w:before="120"/>
      </w:pPr>
    </w:p>
    <w:p>
      <w:pPr>
        <w:pStyle w:val="Heading2"/>
        <w:spacing w:after="80" w:before="200"/>
      </w:pPr>
      <w:r>
        <w:rPr>
          <w:rFonts w:ascii="Arial" w:cs="Arial" w:eastAsia="Arial" w:hAnsi="Arial"/>
          <w:b/>
          <w:bCs/>
          <w:color w:val="1CABE2"/>
          <w:sz w:val="26"/>
          <w:szCs w:val="26"/>
        </w:rPr>
        <w:t xml:space="preserve">1.3 Arquitectura del modelo colombiano</w:t>
      </w:r>
    </w:p>
    <w:p>
      <w:pPr>
        <w:spacing w:after="60" w:before="60"/>
        <w:jc w:val="both"/>
      </w:pPr>
      <w:r>
        <w:rPr>
          <w:rFonts w:ascii="Arial" w:cs="Arial" w:eastAsia="Arial" w:hAnsi="Arial"/>
          <w:b w:val="false"/>
          <w:bCs w:val="false"/>
          <w:i w:val="false"/>
          <w:iCs w:val="false"/>
          <w:color w:val="444444"/>
          <w:sz w:val="22"/>
          <w:szCs w:val="22"/>
        </w:rPr>
        <w:t xml:space="preserve">El Registro Social de Hogares integra actualmente más de 50 millones de registros, articulando fuentes de información de la Registraduría Nacional del Estado Civil, el Ministerio de Salud, el Ministerio de Educación, la Dirección de Impuestos y Aduanas Nacionales, más de 700 bases de datos de municipios y gobernaciones, y más de 25 programas del Distrito de Bogotá. El Registro Universal de Ingresos, que reemplazará progresivamente la clasificación del Sistema de Identificación de Potenciales Beneficiarios, amplía la cobertura de focalización de 34 a más de 55 millones de personas.</w:t>
      </w:r>
    </w:p>
    <w:p>
      <w:pPr>
        <w:spacing w:after="60" w:before="60"/>
        <w:jc w:val="both"/>
      </w:pPr>
      <w:r>
        <w:rPr>
          <w:rFonts w:ascii="Arial" w:cs="Arial" w:eastAsia="Arial" w:hAnsi="Arial"/>
          <w:b w:val="false"/>
          <w:bCs w:val="false"/>
          <w:i w:val="false"/>
          <w:iCs w:val="false"/>
          <w:color w:val="444444"/>
          <w:sz w:val="22"/>
          <w:szCs w:val="22"/>
        </w:rPr>
        <w:t xml:space="preserve">Las Ventanillas Únicas operarán como la interfaz física y presencial de este ecosistema de información, con sede en cada municipio, y como transición desde las actuales oficinas del Sistema de Identificación de Potenciales Beneficiarios. Los municipios son los responsables de disponer la infraestructura necesaria para su funcionamiento.</w:t>
      </w:r>
    </w:p>
    <w:p>
      <w:pPr>
        <w:pStyle w:val="Heading2"/>
        <w:spacing w:after="80" w:before="200"/>
      </w:pPr>
      <w:r>
        <w:rPr>
          <w:rFonts w:ascii="Arial" w:cs="Arial" w:eastAsia="Arial" w:hAnsi="Arial"/>
          <w:b/>
          <w:bCs/>
          <w:color w:val="1CABE2"/>
          <w:sz w:val="26"/>
          <w:szCs w:val="26"/>
        </w:rPr>
        <w:t xml:space="preserve">1.4 Motivaciones internacionales para la integración de servicios</w:t>
      </w:r>
    </w:p>
    <w:p>
      <w:pPr>
        <w:spacing w:after="60" w:before="60"/>
        <w:jc w:val="both"/>
      </w:pPr>
      <w:r>
        <w:rPr>
          <w:rFonts w:ascii="Arial" w:cs="Arial" w:eastAsia="Arial" w:hAnsi="Arial"/>
          <w:b w:val="false"/>
          <w:bCs w:val="false"/>
          <w:i w:val="false"/>
          <w:iCs w:val="false"/>
          <w:color w:val="444444"/>
          <w:sz w:val="22"/>
          <w:szCs w:val="22"/>
        </w:rPr>
        <w:t xml:space="preserve">La experiencia internacional —sistematizada por la Organización para la Cooperación y el Desarrollo Económico y por organismos regionales— identifica dos tipos de motivaciones para la integración de servicios sociales en puntos únicos de atención: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855"/>
        <w:gridCol w:w="5783"/>
      </w:tblGrid>
      <w:tr>
        <w:tc>
          <w:tcPr>
            <w:tcW w:type="dxa" w:w="3855"/>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Motivación</w:t>
            </w:r>
          </w:p>
        </w:tc>
        <w:tc>
          <w:tcPr>
            <w:tcW w:type="dxa" w:w="5783"/>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Propósito</w:t>
            </w:r>
          </w:p>
        </w:tc>
      </w:tr>
      <w:tr>
        <w:tc>
          <w:tcPr>
            <w:tcW w:type="dxa" w:w="385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Integrar políticas sociales y de empleo</w:t>
            </w:r>
          </w:p>
        </w:tc>
        <w:tc>
          <w:tcPr>
            <w:tcW w:type="dxa" w:w="578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Reducir la fragmentación institucional y mejorar la eficiencia de las intervenciones</w:t>
            </w:r>
          </w:p>
        </w:tc>
      </w:tr>
      <w:tr>
        <w:tc>
          <w:tcPr>
            <w:tcW w:type="dxa" w:w="385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Integrar servicios para la niñez y el cuidado</w:t>
            </w:r>
          </w:p>
        </w:tc>
        <w:tc>
          <w:tcPr>
            <w:tcW w:type="dxa" w:w="578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Articular protección especial, desarrollo infantil temprano, servicios de cuidado y prevención de riesgos</w:t>
            </w:r>
          </w:p>
        </w:tc>
      </w:tr>
      <w:tr>
        <w:tc>
          <w:tcPr>
            <w:tcW w:type="dxa" w:w="385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Integrar servicios de salud y cuidado de largo plazo</w:t>
            </w:r>
          </w:p>
        </w:tc>
        <w:tc>
          <w:tcPr>
            <w:tcW w:type="dxa" w:w="578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Responder a las necesidades de personas con discapacidad, personas mayores y sus cuidadores desde una sola entrada</w:t>
            </w:r>
          </w:p>
        </w:tc>
      </w:tr>
      <w:tr>
        <w:tc>
          <w:tcPr>
            <w:tcW w:type="dxa" w:w="385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Usar la información para el diseño de políticas locales</w:t>
            </w:r>
          </w:p>
        </w:tc>
        <w:tc>
          <w:tcPr>
            <w:tcW w:type="dxa" w:w="578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Identificar prioridades con base en la caracterización poblacional y territorial</w:t>
            </w:r>
          </w:p>
        </w:tc>
      </w:tr>
      <w:tr>
        <w:tc>
          <w:tcPr>
            <w:tcW w:type="dxa" w:w="385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Mejorar la coordinación interinstitucional</w:t>
            </w:r>
          </w:p>
        </w:tc>
        <w:tc>
          <w:tcPr>
            <w:tcW w:type="dxa" w:w="578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Incrementar la eficiencia en la provisión de servicios a través de la gestión conjunta</w:t>
            </w:r>
          </w:p>
        </w:tc>
      </w:tr>
    </w:tbl>
    <w:p>
      <w:pPr>
        <w:spacing w:after="0" w:before="80"/>
      </w:pPr>
    </w:p>
    <w:p>
      <w:r>
        <w:br w:type="page"/>
      </w:r>
    </w:p>
    <w:p>
      <w:pPr>
        <w:pStyle w:val="Heading1"/>
        <w:spacing w:after="120" w:before="240"/>
      </w:pPr>
      <w:r>
        <w:rPr>
          <w:rFonts w:ascii="Arial" w:cs="Arial" w:eastAsia="Arial" w:hAnsi="Arial"/>
          <w:b/>
          <w:bCs/>
          <w:color w:val="00629B"/>
          <w:sz w:val="32"/>
          <w:szCs w:val="32"/>
        </w:rPr>
        <w:t xml:space="preserve">2. Enfoque de inclusión y de género</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444444"/>
          <w:sz w:val="22"/>
          <w:szCs w:val="22"/>
        </w:rPr>
        <w:t xml:space="preserve">La articulación entre el Modelo local de cuidados y apoyos y las Ventanillas Únicas Sociales debe estar atravesada, desde el diseño hasta la operación, por dos enfoques que no son opcionales: el enfoque de inclusión de las personas con discapacidad y el enfoque de género. Ambos responden a mandatos constitucionales, normativos y de política internacional vinculantes para Colombia.</w:t>
      </w:r>
    </w:p>
    <w:p>
      <w:pPr>
        <w:pStyle w:val="Heading2"/>
        <w:spacing w:after="80" w:before="200"/>
      </w:pPr>
      <w:r>
        <w:rPr>
          <w:rFonts w:ascii="Arial" w:cs="Arial" w:eastAsia="Arial" w:hAnsi="Arial"/>
          <w:b/>
          <w:bCs/>
          <w:color w:val="1CABE2"/>
          <w:sz w:val="26"/>
          <w:szCs w:val="26"/>
        </w:rPr>
        <w:t xml:space="preserve">2.1 Enfoque de inclusión para personas con discapacidad</w:t>
      </w:r>
    </w:p>
    <w:tbl>
      <w:tblPr>
        <w:tblW w:type="dxa" w:w="9638"/>
        <w:tblBorders>
          <w:top w:val="single" w:color="auto" w:sz="4"/>
          <w:left w:val="single" w:color="auto" w:sz="4"/>
          <w:bottom w:val="single" w:color="auto" w:sz="4"/>
          <w:right w:val="single" w:color="auto" w:sz="4"/>
          <w:insideH w:val="single" w:color="auto" w:sz="4"/>
          <w:insideV w:val="single" w:color="auto" w:sz="4"/>
        </w:tblBorders>
        <w:tblCellMar>
          <w:top w:type="dxa" w:w="0"/>
        </w:tblCellMar>
      </w:tblPr>
      <w:tblGrid>
        <w:gridCol w:w="9638"/>
      </w:tblGrid>
      <w:tr>
        <w:tc>
          <w:tcPr>
            <w:tcW w:type="dxa" w:w="9638"/>
            <w:tcBorders>
              <w:top w:val="none" w:color="FFFFFF" w:sz="0"/>
              <w:left w:val="none" w:color="FFFFFF" w:sz="0"/>
              <w:bottom w:val="none" w:color="FFFFFF" w:sz="0"/>
              <w:right w:val="none" w:color="FFFFFF" w:sz="0"/>
            </w:tcBorders>
            <w:shd w:fill="F26A21" w:val="clear"/>
            <w:tcMar>
              <w:top w:type="dxa" w:w="80"/>
              <w:left w:type="dxa" w:w="160"/>
              <w:bottom w:type="dxa" w:w="80"/>
              <w:right w:type="dxa" w:w="160"/>
            </w:tcMar>
          </w:tcPr>
          <w:p>
            <w:pPr>
              <w:spacing w:after="0" w:before="0"/>
            </w:pPr>
            <w:r>
              <w:rPr>
                <w:rFonts w:ascii="Arial" w:cs="Arial" w:eastAsia="Arial" w:hAnsi="Arial"/>
                <w:b/>
                <w:bCs/>
                <w:color w:val="FFFFFF"/>
                <w:sz w:val="22"/>
                <w:szCs w:val="22"/>
              </w:rPr>
              <w:t xml:space="preserve">Por qué es prioritario</w:t>
            </w:r>
          </w:p>
        </w:tc>
      </w:tr>
      <w:tr>
        <w:tc>
          <w:tcPr>
            <w:tcW w:type="dxa" w:w="9638"/>
            <w:tcBorders>
              <w:top w:val="none" w:color="FFFFFF" w:sz="0"/>
              <w:left w:val="none" w:color="FFFFFF" w:sz="0"/>
              <w:bottom w:val="none" w:color="FFFFFF" w:sz="0"/>
              <w:right w:val="none" w:color="FFFFFF" w:sz="0"/>
            </w:tcBorders>
            <w:shd w:fill="FEF5EE"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En Colombia, las personas con discapacidad enfrentan tasas de pobreza multidimensional significativamente superiores al promedio nacional, acceso limitado a servicios de salud y rehabilitación, barreras físicas, comunicativas y actitudinales en los puntos de atención, y una histórica subrepresentación en los registros y bases de datos de programas sociales.</w:t>
            </w:r>
          </w:p>
        </w:tc>
      </w:tr>
      <w:tr>
        <w:tc>
          <w:tcPr>
            <w:tcW w:type="dxa" w:w="9638"/>
            <w:tcBorders>
              <w:top w:val="none" w:color="FFFFFF" w:sz="0"/>
              <w:left w:val="none" w:color="FFFFFF" w:sz="0"/>
              <w:bottom w:val="none" w:color="FFFFFF" w:sz="0"/>
              <w:right w:val="none" w:color="FFFFFF" w:sz="0"/>
            </w:tcBorders>
            <w:shd w:fill="FEF5EE"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El Registro para la Localización y Caracterización de Personas con Discapacidad —administrado por el Ministerio de Salud— y el Registro Social de Hogares son las dos fuentes principales que deben cruzarse para garantizar la identificación de esta población en los territorios.</w:t>
            </w:r>
          </w:p>
        </w:tc>
      </w:tr>
      <w:tr>
        <w:tc>
          <w:tcPr>
            <w:tcW w:type="dxa" w:w="9638"/>
            <w:tcBorders>
              <w:top w:val="none" w:color="FFFFFF" w:sz="0"/>
              <w:left w:val="none" w:color="FFFFFF" w:sz="0"/>
              <w:bottom w:val="none" w:color="FFFFFF" w:sz="0"/>
              <w:right w:val="none" w:color="FFFFFF" w:sz="0"/>
            </w:tcBorders>
            <w:shd w:fill="FEF5EE"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La Convención sobre los Derechos de las Personas con Discapacidad, ratificada por Colombia mediante la Ley 1346 de 2009, obliga al Estado a garantizar a las personas con discapacidad acceso en igualdad de condiciones a los programas de protección social.</w:t>
            </w:r>
          </w:p>
        </w:tc>
      </w:tr>
    </w:tbl>
    <w:p>
      <w:pPr>
        <w:spacing w:after="0" w:before="100"/>
      </w:pPr>
    </w:p>
    <w:p>
      <w:pPr>
        <w:spacing w:after="60" w:before="60"/>
        <w:jc w:val="both"/>
      </w:pPr>
      <w:r>
        <w:rPr>
          <w:rFonts w:ascii="Arial" w:cs="Arial" w:eastAsia="Arial" w:hAnsi="Arial"/>
          <w:b w:val="false"/>
          <w:bCs w:val="false"/>
          <w:i w:val="false"/>
          <w:iCs w:val="false"/>
          <w:color w:val="444444"/>
          <w:sz w:val="22"/>
          <w:szCs w:val="22"/>
        </w:rPr>
        <w:t xml:space="preserve">Para operacionalizar el enfoque de inclusión en las Ventanillas Únicas Sociales, los equipos deben garantizar:</w:t>
      </w:r>
    </w:p>
    <w:p>
      <w:pPr>
        <w:pStyle w:val="ListParagraph"/>
        <w:numPr>
          <w:ilvl w:val="0"/>
          <w:numId w:val="2"/>
        </w:numPr>
        <w:spacing w:after="30" w:before="30"/>
      </w:pPr>
      <w:r>
        <w:rPr>
          <w:rFonts w:ascii="Arial" w:cs="Arial" w:eastAsia="Arial" w:hAnsi="Arial"/>
          <w:color w:val="444444"/>
          <w:sz w:val="22"/>
          <w:szCs w:val="22"/>
        </w:rPr>
        <w:t xml:space="preserve">Atención preferencial y sin barreras: turno prioritario para personas con discapacidad, espacios físicos accesibles, formatos alternativos (lectura fácil, señas, apoyo de acompañante), conectividad con el Centro de Relevo para personas sordas y usuarios de Lengua de Señas Colombiana.</w:t>
      </w:r>
    </w:p>
    <w:p>
      <w:pPr>
        <w:pStyle w:val="ListParagraph"/>
        <w:numPr>
          <w:ilvl w:val="0"/>
          <w:numId w:val="2"/>
        </w:numPr>
        <w:spacing w:after="30" w:before="30"/>
      </w:pPr>
      <w:r>
        <w:rPr>
          <w:rFonts w:ascii="Arial" w:cs="Arial" w:eastAsia="Arial" w:hAnsi="Arial"/>
          <w:color w:val="444444"/>
          <w:sz w:val="22"/>
          <w:szCs w:val="22"/>
        </w:rPr>
        <w:t xml:space="preserve">Interoperabilidad con el Registro para la Localización y Caracterización de Personas con Discapacidad: verificar que la identificación de personas con discapacidad en el Registro Social de Hogares esté actualizada y sea la base para la postulación a programas específicos.</w:t>
      </w:r>
    </w:p>
    <w:p>
      <w:pPr>
        <w:pStyle w:val="ListParagraph"/>
        <w:numPr>
          <w:ilvl w:val="0"/>
          <w:numId w:val="2"/>
        </w:numPr>
        <w:spacing w:after="30" w:before="30"/>
      </w:pPr>
      <w:r>
        <w:rPr>
          <w:rFonts w:ascii="Arial" w:cs="Arial" w:eastAsia="Arial" w:hAnsi="Arial"/>
          <w:color w:val="444444"/>
          <w:sz w:val="22"/>
          <w:szCs w:val="22"/>
        </w:rPr>
        <w:t xml:space="preserve">Personal capacitado: los servidores de la Ventanilla deben conocer los tipos de discapacidad, los protocolos de atención diferenciada establecidos por la Función Pública y el Departamento Nacional de Planeación, y el portafolio de servicios específicos para esta población.</w:t>
      </w:r>
    </w:p>
    <w:p>
      <w:pPr>
        <w:pStyle w:val="ListParagraph"/>
        <w:numPr>
          <w:ilvl w:val="0"/>
          <w:numId w:val="2"/>
        </w:numPr>
        <w:spacing w:after="30" w:before="30"/>
      </w:pPr>
      <w:r>
        <w:rPr>
          <w:rFonts w:ascii="Arial" w:cs="Arial" w:eastAsia="Arial" w:hAnsi="Arial"/>
          <w:color w:val="444444"/>
          <w:sz w:val="22"/>
          <w:szCs w:val="22"/>
        </w:rPr>
        <w:t xml:space="preserve">Búsqueda activa: implementar mecanismos de identificación proactiva de personas con discapacidad que no están en los registros, articulando con organizaciones de la sociedad civil, líderes comunitarios y equipos de salud.</w:t>
      </w:r>
    </w:p>
    <w:p>
      <w:pPr>
        <w:pStyle w:val="ListParagraph"/>
        <w:numPr>
          <w:ilvl w:val="0"/>
          <w:numId w:val="2"/>
        </w:numPr>
        <w:spacing w:after="30" w:before="30"/>
      </w:pPr>
      <w:r>
        <w:rPr>
          <w:rFonts w:ascii="Arial" w:cs="Arial" w:eastAsia="Arial" w:hAnsi="Arial"/>
          <w:color w:val="444444"/>
          <w:sz w:val="22"/>
          <w:szCs w:val="22"/>
        </w:rPr>
        <w:t xml:space="preserve">Registro de la demanda no atendida: documentar sistemáticamente las solicitudes que no pueden resolverse en la Ventanilla para informar ajustes a la oferta territorial.</w:t>
      </w:r>
    </w:p>
    <w:p>
      <w:pPr>
        <w:spacing w:after="0" w:before="80"/>
      </w:pPr>
    </w:p>
    <w:p>
      <w:pPr>
        <w:pStyle w:val="Heading2"/>
        <w:spacing w:after="80" w:before="200"/>
      </w:pPr>
      <w:r>
        <w:rPr>
          <w:rFonts w:ascii="Arial" w:cs="Arial" w:eastAsia="Arial" w:hAnsi="Arial"/>
          <w:b/>
          <w:bCs/>
          <w:color w:val="1CABE2"/>
          <w:sz w:val="26"/>
          <w:szCs w:val="26"/>
        </w:rPr>
        <w:t xml:space="preserve">2.2 Enfoque de género</w:t>
      </w:r>
    </w:p>
    <w:p>
      <w:pPr>
        <w:spacing w:after="60" w:before="60"/>
        <w:jc w:val="both"/>
      </w:pPr>
      <w:r>
        <w:rPr>
          <w:rFonts w:ascii="Arial" w:cs="Arial" w:eastAsia="Arial" w:hAnsi="Arial"/>
          <w:b w:val="false"/>
          <w:bCs w:val="false"/>
          <w:i w:val="false"/>
          <w:iCs w:val="false"/>
          <w:color w:val="444444"/>
          <w:sz w:val="22"/>
          <w:szCs w:val="22"/>
        </w:rPr>
        <w:t xml:space="preserve">El cuidado en Colombia no es neutral en términos de género. Las mujeres asumen de manera desproporcionada la carga del cuidado no remunerado de personas con discapacidad, constituyendo la gran mayoría de las cuidadoras principales. Esta distribución desigual limita su participación laboral, aumenta su riesgo de empobrecimiento y las expone a situaciones de sobrecarga y aislamiento. Las Ventanillas Únicas Sociales, si no incorporan el enfoque de género desde su diseño, pueden reproducir y profundizar esta inequidad.</w:t>
      </w:r>
    </w:p>
    <w:tbl>
      <w:tblPr>
        <w:tblW w:type="dxa" w:w="9638"/>
        <w:tblBorders>
          <w:top w:val="single" w:color="auto" w:sz="4"/>
          <w:left w:val="single" w:color="auto" w:sz="4"/>
          <w:bottom w:val="single" w:color="auto" w:sz="4"/>
          <w:right w:val="single" w:color="auto" w:sz="4"/>
          <w:insideH w:val="single" w:color="auto" w:sz="4"/>
          <w:insideV w:val="single" w:color="auto" w:sz="4"/>
        </w:tblBorders>
        <w:tblCellMar>
          <w:top w:type="dxa" w:w="0"/>
        </w:tblCellMar>
      </w:tblPr>
      <w:tblGrid>
        <w:gridCol w:w="9638"/>
      </w:tblGrid>
      <w:tr>
        <w:tc>
          <w:tcPr>
            <w:tcW w:type="dxa" w:w="9638"/>
            <w:tcBorders>
              <w:top w:val="none" w:color="FFFFFF" w:sz="0"/>
              <w:left w:val="none" w:color="FFFFFF" w:sz="0"/>
              <w:bottom w:val="none" w:color="FFFFFF" w:sz="0"/>
              <w:right w:val="none" w:color="FFFFFF" w:sz="0"/>
            </w:tcBorders>
            <w:shd w:fill="374EA2" w:val="clear"/>
            <w:tcMar>
              <w:top w:type="dxa" w:w="80"/>
              <w:left w:type="dxa" w:w="160"/>
              <w:bottom w:type="dxa" w:w="80"/>
              <w:right w:type="dxa" w:w="160"/>
            </w:tcMar>
          </w:tcPr>
          <w:p>
            <w:pPr>
              <w:spacing w:after="0" w:before="0"/>
            </w:pPr>
            <w:r>
              <w:rPr>
                <w:rFonts w:ascii="Arial" w:cs="Arial" w:eastAsia="Arial" w:hAnsi="Arial"/>
                <w:b/>
                <w:bCs/>
                <w:color w:val="FFFFFF"/>
                <w:sz w:val="22"/>
                <w:szCs w:val="22"/>
              </w:rPr>
              <w:t xml:space="preserve">Principios de género para las Ventanillas Únicas Sociales</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Visibilizar el trabajo de cuidado: registrar y reconocer explícitamente el rol de cuidador o cuidadora principal en la hoja del ciudadano, de modo que esta información active rutas de vinculación a programas de apoyo al cuidado.</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Eliminar barreras de acceso para cuidadoras: horarios de atención flexibles, servicios de acompañamiento para niñas, niños o personas con discapacidad mientras la cuidadora realiza trámites, y mecanismos de atención domiciliaria o comunitaria para cuidadoras que no pueden desplazarse.</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Vinculación prioritaria a programas de apoyo al cuidado: la postulación de una cuidadora a programas de transferencias, formación, respiro o salud debe activarse de forma articulada, sin requerir trámites separados para cada programa.</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Datos desagregados por sexo: toda la información del Registro Social de Hogares relativa al cuidado debe estar desagregada por sexo para orientar la política pública local.</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Prevención de violencias: el personal de la Ventanilla debe estar capacitado para identificar situaciones de violencia de género en el contexto del cuidado y activar las rutas de atención correspondientes.</w:t>
            </w:r>
          </w:p>
        </w:tc>
      </w:tr>
    </w:tbl>
    <w:p>
      <w:pPr>
        <w:spacing w:after="0" w:before="80"/>
      </w:pPr>
    </w:p>
    <w:p>
      <w:r>
        <w:br w:type="page"/>
      </w:r>
    </w:p>
    <w:p>
      <w:pPr>
        <w:pStyle w:val="Heading1"/>
        <w:spacing w:after="120" w:before="240"/>
      </w:pPr>
      <w:r>
        <w:rPr>
          <w:rFonts w:ascii="Arial" w:cs="Arial" w:eastAsia="Arial" w:hAnsi="Arial"/>
          <w:b/>
          <w:bCs/>
          <w:color w:val="00629B"/>
          <w:sz w:val="32"/>
          <w:szCs w:val="32"/>
        </w:rPr>
        <w:t xml:space="preserve">3. El Modelo de gestión local de cuidados y apoyos y su relación con las Ventanillas Únicas</w:t>
      </w:r>
    </w:p>
    <w:p>
      <w:pPr>
        <w:pBdr>
          <w:bottom w:val="single" w:color="1CABE2" w:sz="12" w:space="1"/>
        </w:pBdr>
        <w:spacing w:after="40" w:before="0"/>
      </w:pPr>
    </w:p>
    <w:p>
      <w:pPr>
        <w:pStyle w:val="Heading2"/>
        <w:spacing w:after="80" w:before="200"/>
      </w:pPr>
      <w:r>
        <w:rPr>
          <w:rFonts w:ascii="Arial" w:cs="Arial" w:eastAsia="Arial" w:hAnsi="Arial"/>
          <w:b/>
          <w:bCs/>
          <w:color w:val="1CABE2"/>
          <w:sz w:val="26"/>
          <w:szCs w:val="26"/>
        </w:rPr>
        <w:t xml:space="preserve">3.1 ¿Qué es el Modelo?</w:t>
      </w:r>
    </w:p>
    <w:p>
      <w:pPr>
        <w:spacing w:after="60" w:before="60"/>
        <w:jc w:val="both"/>
      </w:pPr>
      <w:r>
        <w:rPr>
          <w:rFonts w:ascii="Arial" w:cs="Arial" w:eastAsia="Arial" w:hAnsi="Arial"/>
          <w:b w:val="false"/>
          <w:bCs w:val="false"/>
          <w:i w:val="false"/>
          <w:iCs w:val="false"/>
          <w:color w:val="444444"/>
          <w:sz w:val="22"/>
          <w:szCs w:val="22"/>
        </w:rPr>
        <w:t xml:space="preserve">El Modelo de Sistema Local de Cuidados y Apoyos Inclusivos es un marco operativo que orienta a municipios para diseñar e implementar sistemas integrados de inclusión, apoyos y cuidado para personas con discapacidad y sus familias, en un marco de derechos y protección social inclusiva. El Modelo opera a través de tres capacidades institucionales y seis procesos críticos que se despliegan en el territorio local.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c>
          <w:tcPr>
            <w:tcW w:type="dxa" w:w="3662"/>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Capacidad</w:t>
            </w:r>
          </w:p>
        </w:tc>
        <w:tc>
          <w:tcPr>
            <w:tcW w:type="dxa" w:w="5976"/>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Descripción</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444444"/>
                <w:sz w:val="21"/>
                <w:szCs w:val="21"/>
              </w:rPr>
              <w:t xml:space="preserve">Capacidad 1: Diagnóstico y caracterización territorial</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Identificar quiénes son las personas con discapacidad, sus familias y cuidadores en el municipio, cuáles son sus necesidades y cuál es la oferta disponible.</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bCs/>
                <w:color w:val="444444"/>
                <w:sz w:val="21"/>
                <w:szCs w:val="21"/>
              </w:rPr>
              <w:t xml:space="preserve">Capacidad 2: Diseño e implementación de servicios locales de cuidado y apoyos</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Estructurar y poner en marcha servicios integrados de apoyos, cuidado y protección social que respondan al diagnóstico territorial.</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bCs/>
                <w:color w:val="444444"/>
                <w:sz w:val="21"/>
                <w:szCs w:val="21"/>
              </w:rPr>
              <w:t xml:space="preserve">Capacidad 3: Gobernanza intersectorial y gestión del modelo</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Consolidar acuerdos institucionales, mecanismos de coordinación interinstitucional y seguimiento al modelo.</w:t>
            </w:r>
          </w:p>
        </w:tc>
      </w:tr>
    </w:tbl>
    <w:p>
      <w:pPr>
        <w:spacing w:after="0" w:before="100"/>
      </w:pPr>
    </w:p>
    <w:p>
      <w:pPr>
        <w:pStyle w:val="Heading2"/>
        <w:spacing w:after="80" w:before="200"/>
      </w:pPr>
      <w:r>
        <w:rPr>
          <w:rFonts w:ascii="Arial" w:cs="Arial" w:eastAsia="Arial" w:hAnsi="Arial"/>
          <w:b/>
          <w:bCs/>
          <w:color w:val="1CABE2"/>
          <w:sz w:val="26"/>
          <w:szCs w:val="26"/>
        </w:rPr>
        <w:t xml:space="preserve">3.2 Complementariedad con las Ventanillas Únicas Sociales</w:t>
      </w:r>
    </w:p>
    <w:p>
      <w:pPr>
        <w:spacing w:after="60" w:before="60"/>
        <w:jc w:val="both"/>
      </w:pPr>
      <w:r>
        <w:rPr>
          <w:rFonts w:ascii="Arial" w:cs="Arial" w:eastAsia="Arial" w:hAnsi="Arial"/>
          <w:b w:val="false"/>
          <w:bCs w:val="false"/>
          <w:i w:val="false"/>
          <w:iCs w:val="false"/>
          <w:color w:val="444444"/>
          <w:sz w:val="22"/>
          <w:szCs w:val="22"/>
        </w:rPr>
        <w:t xml:space="preserve">El Modelo y las Ventanillas Únicas Sociales son complementarios y se refuerzan mutuamente. La Ventanilla es la puerta de entrada del sistema de protección social; el Modelo es la arquitectura de gestión local que organiza qué sucede una vez que la persona entra. La articulación entre ambos produce los siguientes beneficios: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180"/>
        <w:gridCol w:w="6458"/>
      </w:tblGrid>
      <w:tr>
        <w:tc>
          <w:tcPr>
            <w:tcW w:type="dxa" w:w="3180"/>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Punto de articulación</w:t>
            </w:r>
          </w:p>
        </w:tc>
        <w:tc>
          <w:tcPr>
            <w:tcW w:type="dxa" w:w="6458"/>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Beneficio</w:t>
            </w:r>
          </w:p>
        </w:tc>
      </w:tr>
      <w:tr>
        <w:tc>
          <w:tcPr>
            <w:tcW w:type="dxa" w:w="3180"/>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Identificación y registro</w:t>
            </w:r>
          </w:p>
        </w:tc>
        <w:tc>
          <w:tcPr>
            <w:tcW w:type="dxa" w:w="6458"/>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La Ventanilla captura y actualiza información sobre personas con discapacidad que el Modelo necesita para su diagnóstico territorial (Capacidad 1).</w:t>
            </w:r>
          </w:p>
        </w:tc>
      </w:tr>
      <w:tr>
        <w:tc>
          <w:tcPr>
            <w:tcW w:type="dxa" w:w="318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Acceso a oferta intersectorial</w:t>
            </w:r>
          </w:p>
        </w:tc>
        <w:tc>
          <w:tcPr>
            <w:tcW w:type="dxa" w:w="6458"/>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La Ventanilla conecta a la persona con la oferta nacional y territorial en un solo punto; el Modelo organiza localmente la coordinación de esa oferta.</w:t>
            </w:r>
          </w:p>
        </w:tc>
      </w:tr>
      <w:tr>
        <w:tc>
          <w:tcPr>
            <w:tcW w:type="dxa" w:w="3180"/>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Actualización del Registro Social de Hogares</w:t>
            </w:r>
          </w:p>
        </w:tc>
        <w:tc>
          <w:tcPr>
            <w:tcW w:type="dxa" w:w="6458"/>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Los equipos del Modelo pueden alimentar el Registro Social a través de la Ventanilla con información recogida en sus procesos de caracterización.</w:t>
            </w:r>
          </w:p>
        </w:tc>
      </w:tr>
      <w:tr>
        <w:tc>
          <w:tcPr>
            <w:tcW w:type="dxa" w:w="318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Derivación especializada</w:t>
            </w:r>
          </w:p>
        </w:tc>
        <w:tc>
          <w:tcPr>
            <w:tcW w:type="dxa" w:w="6458"/>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La Ventanilla deriva a la persona al sistema de apoyos y cuidado local que el Modelo ha estructurado; el Modelo retroalimenta a la Ventanilla sobre la demanda no atendida.</w:t>
            </w:r>
          </w:p>
        </w:tc>
      </w:tr>
      <w:tr>
        <w:tc>
          <w:tcPr>
            <w:tcW w:type="dxa" w:w="3180"/>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Gobernanza compartida</w:t>
            </w:r>
          </w:p>
        </w:tc>
        <w:tc>
          <w:tcPr>
            <w:tcW w:type="dxa" w:w="6458"/>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Ambos instrumentos requieren acuerdos intersectoriales en el nivel municipal, lo que permite construir sobre una misma arquitectura de coordinación.</w:t>
            </w:r>
          </w:p>
        </w:tc>
      </w:tr>
    </w:tbl>
    <w:p>
      <w:pPr>
        <w:spacing w:after="0" w:before="100"/>
      </w:pPr>
    </w:p>
    <w:p>
      <w:pPr>
        <w:pStyle w:val="Heading2"/>
        <w:spacing w:after="80" w:before="200"/>
      </w:pPr>
      <w:r>
        <w:rPr>
          <w:rFonts w:ascii="Arial" w:cs="Arial" w:eastAsia="Arial" w:hAnsi="Arial"/>
          <w:b/>
          <w:bCs/>
          <w:color w:val="1CABE2"/>
          <w:sz w:val="26"/>
          <w:szCs w:val="26"/>
        </w:rPr>
        <w:t xml:space="preserve">3.3 Flujo integrado de atención</w:t>
      </w:r>
    </w:p>
    <w:p>
      <w:pPr>
        <w:spacing w:after="60" w:before="60"/>
        <w:jc w:val="both"/>
      </w:pPr>
      <w:r>
        <w:rPr>
          <w:rFonts w:ascii="Arial" w:cs="Arial" w:eastAsia="Arial" w:hAnsi="Arial"/>
          <w:b w:val="false"/>
          <w:bCs w:val="false"/>
          <w:i w:val="false"/>
          <w:iCs w:val="false"/>
          <w:color w:val="444444"/>
          <w:sz w:val="22"/>
          <w:szCs w:val="22"/>
        </w:rPr>
        <w:t xml:space="preserve">El flujo integrado entre la Ventanilla Única Social y el Modelo de cuidados y apoyos puede describirse en las siguientes etapas:</w:t>
      </w:r>
    </w:p>
    <w:tbl>
      <w:tblPr>
        <w:tblW w:type="dxa" w:w="9638"/>
        <w:tblBorders>
          <w:top w:val="single" w:color="auto" w:sz="4"/>
          <w:left w:val="single" w:color="auto" w:sz="4"/>
          <w:bottom w:val="single" w:color="auto" w:sz="4"/>
          <w:right w:val="single" w:color="auto" w:sz="4"/>
          <w:insideH w:val="single" w:color="auto" w:sz="4"/>
          <w:insideV w:val="single" w:color="auto" w:sz="4"/>
        </w:tblBorders>
        <w:tblCellMar>
          <w:top w:type="dxa" w:w="0"/>
        </w:tblCellMar>
      </w:tblPr>
      <w:tblGrid>
        <w:gridCol w:w="9638"/>
      </w:tblGrid>
      <w:tr>
        <w:tc>
          <w:tcPr>
            <w:tcW w:type="dxa" w:w="9638"/>
            <w:tcBorders>
              <w:top w:val="none" w:color="FFFFFF" w:sz="0"/>
              <w:left w:val="none" w:color="FFFFFF" w:sz="0"/>
              <w:bottom w:val="none" w:color="FFFFFF" w:sz="0"/>
              <w:right w:val="none" w:color="FFFFFF" w:sz="0"/>
            </w:tcBorders>
            <w:shd w:fill="1CABE2" w:val="clear"/>
            <w:tcMar>
              <w:top w:type="dxa" w:w="80"/>
              <w:left w:type="dxa" w:w="160"/>
              <w:bottom w:type="dxa" w:w="80"/>
              <w:right w:type="dxa" w:w="160"/>
            </w:tcMar>
          </w:tcPr>
          <w:p>
            <w:pPr>
              <w:spacing w:after="0" w:before="0"/>
            </w:pPr>
            <w:r>
              <w:rPr>
                <w:rFonts w:ascii="Arial" w:cs="Arial" w:eastAsia="Arial" w:hAnsi="Arial"/>
                <w:b/>
                <w:bCs/>
                <w:color w:val="FFFFFF"/>
                <w:sz w:val="22"/>
                <w:szCs w:val="22"/>
              </w:rPr>
              <w:t xml:space="preserve">Etapa 1 — Entrada y registro (Ventanilla Única)</w:t>
            </w:r>
          </w:p>
        </w:tc>
      </w:tr>
      <w:tr>
        <w:tc>
          <w:tcPr>
            <w:tcW w:type="dxa" w:w="9638"/>
            <w:tcBorders>
              <w:top w:val="none" w:color="FFFFFF" w:sz="0"/>
              <w:left w:val="none" w:color="FFFFFF" w:sz="0"/>
              <w:bottom w:val="none" w:color="FFFFFF" w:sz="0"/>
              <w:right w:val="none" w:color="FFFFFF" w:sz="0"/>
            </w:tcBorders>
            <w:shd w:fill="EAF6FD"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La persona con discapacidad, cuidador o familiar llega a la Ventanilla Única del municipio (presencialmente o por referido de un equipo comunitario).</w:t>
            </w:r>
          </w:p>
        </w:tc>
      </w:tr>
      <w:tr>
        <w:tc>
          <w:tcPr>
            <w:tcW w:type="dxa" w:w="9638"/>
            <w:tcBorders>
              <w:top w:val="none" w:color="FFFFFF" w:sz="0"/>
              <w:left w:val="none" w:color="FFFFFF" w:sz="0"/>
              <w:bottom w:val="none" w:color="FFFFFF" w:sz="0"/>
              <w:right w:val="none" w:color="FFFFFF" w:sz="0"/>
            </w:tcBorders>
            <w:shd w:fill="EAF6FD"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El operador consulta el Registro Social de Hogares y verifica si la persona está registrada. Si no lo está, activa la encuesta de caracterización.</w:t>
            </w:r>
          </w:p>
        </w:tc>
      </w:tr>
      <w:tr>
        <w:tc>
          <w:tcPr>
            <w:tcW w:type="dxa" w:w="9638"/>
            <w:tcBorders>
              <w:top w:val="none" w:color="FFFFFF" w:sz="0"/>
              <w:left w:val="none" w:color="FFFFFF" w:sz="0"/>
              <w:bottom w:val="none" w:color="FFFFFF" w:sz="0"/>
              <w:right w:val="none" w:color="FFFFFF" w:sz="0"/>
            </w:tcBorders>
            <w:shd w:fill="EAF6FD"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Se registra explícitamente el rol de cuidador o cuidadora principal si aplica.</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CellMar>
          <w:top w:type="dxa" w:w="0"/>
        </w:tblCellMar>
      </w:tblPr>
      <w:tblGrid>
        <w:gridCol w:w="9638"/>
      </w:tblGrid>
      <w:tr>
        <w:tc>
          <w:tcPr>
            <w:tcW w:type="dxa" w:w="9638"/>
            <w:tcBorders>
              <w:top w:val="none" w:color="FFFFFF" w:sz="0"/>
              <w:left w:val="none" w:color="FFFFFF" w:sz="0"/>
              <w:bottom w:val="none" w:color="FFFFFF" w:sz="0"/>
              <w:right w:val="none" w:color="FFFFFF" w:sz="0"/>
            </w:tcBorders>
            <w:shd w:fill="374EA2" w:val="clear"/>
            <w:tcMar>
              <w:top w:type="dxa" w:w="80"/>
              <w:left w:type="dxa" w:w="160"/>
              <w:bottom w:type="dxa" w:w="80"/>
              <w:right w:type="dxa" w:w="160"/>
            </w:tcMar>
          </w:tcPr>
          <w:p>
            <w:pPr>
              <w:spacing w:after="0" w:before="0"/>
            </w:pPr>
            <w:r>
              <w:rPr>
                <w:rFonts w:ascii="Arial" w:cs="Arial" w:eastAsia="Arial" w:hAnsi="Arial"/>
                <w:b/>
                <w:bCs/>
                <w:color w:val="FFFFFF"/>
                <w:sz w:val="22"/>
                <w:szCs w:val="22"/>
              </w:rPr>
              <w:t xml:space="preserve">Etapa 2 — Identificación de elegibilidad y postulación</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La Ventanilla identifica los programas nacionales y territoriales para los que la persona es elegible, incluyendo los servicios del sistema local de cuidados y apoyos.</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Con autorización del usuario, lo postula a los programas disponibles y entrega el número de radicado del caso.</w:t>
            </w:r>
          </w:p>
        </w:tc>
      </w:tr>
      <w:tr>
        <w:tc>
          <w:tcPr>
            <w:tcW w:type="dxa" w:w="9638"/>
            <w:tcBorders>
              <w:top w:val="none" w:color="FFFFFF" w:sz="0"/>
              <w:left w:val="none" w:color="FFFFFF" w:sz="0"/>
              <w:bottom w:val="none" w:color="FFFFFF" w:sz="0"/>
              <w:right w:val="none" w:color="FFFFFF" w:sz="0"/>
            </w:tcBorders>
            <w:shd w:fill="F0F0FA"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Si la persona presenta situaciones de vulnerabilidad específica (discapacidad severa, cuidadora en riesgo, barreras de acceso), se activa la ruta de atención prioritaria del Modelo.</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CellMar>
          <w:top w:type="dxa" w:w="0"/>
        </w:tblCellMar>
      </w:tblPr>
      <w:tblGrid>
        <w:gridCol w:w="9638"/>
      </w:tblGrid>
      <w:tr>
        <w:tc>
          <w:tcPr>
            <w:tcW w:type="dxa" w:w="9638"/>
            <w:tcBorders>
              <w:top w:val="none" w:color="FFFFFF" w:sz="0"/>
              <w:left w:val="none" w:color="FFFFFF" w:sz="0"/>
              <w:bottom w:val="none" w:color="FFFFFF" w:sz="0"/>
              <w:right w:val="none" w:color="FFFFFF" w:sz="0"/>
            </w:tcBorders>
            <w:shd w:fill="80BD41" w:val="clear"/>
            <w:tcMar>
              <w:top w:type="dxa" w:w="80"/>
              <w:left w:type="dxa" w:w="160"/>
              <w:bottom w:type="dxa" w:w="80"/>
              <w:right w:type="dxa" w:w="160"/>
            </w:tcMar>
          </w:tcPr>
          <w:p>
            <w:pPr>
              <w:spacing w:after="0" w:before="0"/>
            </w:pPr>
            <w:r>
              <w:rPr>
                <w:rFonts w:ascii="Arial" w:cs="Arial" w:eastAsia="Arial" w:hAnsi="Arial"/>
                <w:b/>
                <w:bCs/>
                <w:color w:val="FFFFFF"/>
                <w:sz w:val="22"/>
                <w:szCs w:val="22"/>
              </w:rPr>
              <w:t xml:space="preserve">Etapa 3 — Derivación al Modelo local de cuidados y apoyos</w:t>
            </w:r>
          </w:p>
        </w:tc>
      </w:tr>
      <w:tr>
        <w:tc>
          <w:tcPr>
            <w:tcW w:type="dxa" w:w="9638"/>
            <w:tcBorders>
              <w:top w:val="none" w:color="FFFFFF" w:sz="0"/>
              <w:left w:val="none" w:color="FFFFFF" w:sz="0"/>
              <w:bottom w:val="none" w:color="FFFFFF" w:sz="0"/>
              <w:right w:val="none" w:color="FFFFFF" w:sz="0"/>
            </w:tcBorders>
            <w:shd w:fill="F0FAF0"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La Ventanilla deriva a la persona al equipo territorial del Modelo para la activación de servicios de apoyos, cuidado y protección social que no están en el catálogo de programas nacionales.</w:t>
            </w:r>
          </w:p>
        </w:tc>
      </w:tr>
      <w:tr>
        <w:tc>
          <w:tcPr>
            <w:tcW w:type="dxa" w:w="9638"/>
            <w:tcBorders>
              <w:top w:val="none" w:color="FFFFFF" w:sz="0"/>
              <w:left w:val="none" w:color="FFFFFF" w:sz="0"/>
              <w:bottom w:val="none" w:color="FFFFFF" w:sz="0"/>
              <w:right w:val="none" w:color="FFFFFF" w:sz="0"/>
            </w:tcBorders>
            <w:shd w:fill="F0FAF0"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El equipo del Modelo recibe el perfil básico de la persona desde el Registro Social de Hogares (con consentimiento) para no duplicar la recolección de información.</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CellMar>
          <w:top w:type="dxa" w:w="0"/>
        </w:tblCellMar>
      </w:tblPr>
      <w:tblGrid>
        <w:gridCol w:w="9638"/>
      </w:tblGrid>
      <w:tr>
        <w:tc>
          <w:tcPr>
            <w:tcW w:type="dxa" w:w="9638"/>
            <w:tcBorders>
              <w:top w:val="none" w:color="FFFFFF" w:sz="0"/>
              <w:left w:val="none" w:color="FFFFFF" w:sz="0"/>
              <w:bottom w:val="none" w:color="FFFFFF" w:sz="0"/>
              <w:right w:val="none" w:color="FFFFFF" w:sz="0"/>
            </w:tcBorders>
            <w:shd w:fill="F26A21" w:val="clear"/>
            <w:tcMar>
              <w:top w:type="dxa" w:w="80"/>
              <w:left w:type="dxa" w:w="160"/>
              <w:bottom w:type="dxa" w:w="80"/>
              <w:right w:type="dxa" w:w="160"/>
            </w:tcMar>
          </w:tcPr>
          <w:p>
            <w:pPr>
              <w:spacing w:after="0" w:before="0"/>
            </w:pPr>
            <w:r>
              <w:rPr>
                <w:rFonts w:ascii="Arial" w:cs="Arial" w:eastAsia="Arial" w:hAnsi="Arial"/>
                <w:b/>
                <w:bCs/>
                <w:color w:val="FFFFFF"/>
                <w:sz w:val="22"/>
                <w:szCs w:val="22"/>
              </w:rPr>
              <w:t xml:space="preserve">Etapa 4 — Asignación, seguimiento y retroalimentación</w:t>
            </w:r>
          </w:p>
        </w:tc>
      </w:tr>
      <w:tr>
        <w:tc>
          <w:tcPr>
            <w:tcW w:type="dxa" w:w="9638"/>
            <w:tcBorders>
              <w:top w:val="none" w:color="FFFFFF" w:sz="0"/>
              <w:left w:val="none" w:color="FFFFFF" w:sz="0"/>
              <w:bottom w:val="none" w:color="FFFFFF" w:sz="0"/>
              <w:right w:val="none" w:color="FFFFFF" w:sz="0"/>
            </w:tcBorders>
            <w:shd w:fill="FEF5EE"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Los programas asignados se registran en el Registro Social de Hogares, lo que permite el seguimiento del impacto en las condiciones de vida de la persona.</w:t>
            </w:r>
          </w:p>
        </w:tc>
      </w:tr>
      <w:tr>
        <w:tc>
          <w:tcPr>
            <w:tcW w:type="dxa" w:w="9638"/>
            <w:tcBorders>
              <w:top w:val="none" w:color="FFFFFF" w:sz="0"/>
              <w:left w:val="none" w:color="FFFFFF" w:sz="0"/>
              <w:bottom w:val="none" w:color="FFFFFF" w:sz="0"/>
              <w:right w:val="none" w:color="FFFFFF" w:sz="0"/>
            </w:tcBorders>
            <w:shd w:fill="FEF5EE" w:val="clear"/>
            <w:tcMar>
              <w:top w:type="dxa" w:w="60"/>
              <w:left w:type="dxa" w:w="160"/>
              <w:bottom w:type="dxa" w:w="60"/>
              <w:right w:type="dxa" w:w="160"/>
            </w:tcMar>
          </w:tcPr>
          <w:p>
            <w:pPr>
              <w:spacing w:after="0" w:before="0"/>
            </w:pPr>
            <w:r>
              <w:rPr>
                <w:rFonts w:ascii="Arial" w:cs="Arial" w:eastAsia="Arial" w:hAnsi="Arial"/>
                <w:color w:val="444444"/>
                <w:sz w:val="21"/>
                <w:szCs w:val="21"/>
              </w:rPr>
              <w:t xml:space="preserve">El Modelo retroalimenta a la Ventanilla sobre casos no resueltos, brechas de oferta y necesidades no cubiertas, para informar ajustes en la oferta territorial.</w:t>
            </w:r>
          </w:p>
        </w:tc>
      </w:tr>
    </w:tbl>
    <w:p>
      <w:pPr>
        <w:spacing w:after="0" w:before="80"/>
      </w:pPr>
    </w:p>
    <w:p>
      <w:r>
        <w:br w:type="page"/>
      </w:r>
    </w:p>
    <w:p>
      <w:pPr>
        <w:pStyle w:val="Heading1"/>
        <w:spacing w:after="120" w:before="240"/>
      </w:pPr>
      <w:r>
        <w:rPr>
          <w:rFonts w:ascii="Arial" w:cs="Arial" w:eastAsia="Arial" w:hAnsi="Arial"/>
          <w:b/>
          <w:bCs/>
          <w:color w:val="00629B"/>
          <w:sz w:val="32"/>
          <w:szCs w:val="32"/>
        </w:rPr>
        <w:t xml:space="preserve">4. Pasos concretos para la articulación</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444444"/>
          <w:sz w:val="22"/>
          <w:szCs w:val="22"/>
        </w:rPr>
        <w:t xml:space="preserve">Esta sección presenta los pasos que los equipos territoriales y los asesores del Modelo deben seguir para lograr la articulación operativa con las Ventanillas Únicas Sociales a nivel nacional y territorial.</w:t>
      </w:r>
    </w:p>
    <w:p>
      <w:pPr>
        <w:pStyle w:val="Heading2"/>
        <w:spacing w:after="80" w:before="200"/>
      </w:pPr>
      <w:r>
        <w:rPr>
          <w:rFonts w:ascii="Arial" w:cs="Arial" w:eastAsia="Arial" w:hAnsi="Arial"/>
          <w:b/>
          <w:bCs/>
          <w:color w:val="1CABE2"/>
          <w:sz w:val="26"/>
          <w:szCs w:val="26"/>
        </w:rPr>
        <w:t xml:space="preserve">4.1 Articulación con la Ventanilla Única del Registro Social de Hogares — nivel nacional</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000"/>
        <w:gridCol w:w="8638"/>
      </w:tblGrid>
      <w:tr>
        <w:tc>
          <w:tcPr>
            <w:tcW w:type="dxa" w:w="1000"/>
            <w:vMerge w:val="restart"/>
            <w:tcBorders>
              <w:top w:val="none" w:color="FFFFFF" w:sz="0"/>
              <w:left w:val="none" w:color="FFFFFF" w:sz="0"/>
              <w:bottom w:val="none" w:color="FFFFFF" w:sz="0"/>
              <w:right w:val="none" w:color="FFFFFF" w:sz="0"/>
            </w:tcBorders>
            <w:shd w:fill="00629B" w:val="clear"/>
            <w:tcMar>
              <w:top w:type="dxa" w:w="80"/>
              <w:left w:type="dxa" w:w="80"/>
              <w:bottom w:type="dxa" w:w="80"/>
              <w:right w:type="dxa" w:w="80"/>
            </w:tcMar>
            <w:vAlign w:val="center"/>
          </w:tcPr>
          <w:p>
            <w:pPr>
              <w:spacing w:after="0" w:before="0"/>
              <w:jc w:val="center"/>
            </w:pPr>
            <w:r>
              <w:rPr>
                <w:rFonts w:ascii="Arial" w:cs="Arial" w:eastAsia="Arial" w:hAnsi="Arial"/>
                <w:b/>
                <w:bCs/>
                <w:color w:val="FFFFFF"/>
                <w:sz w:val="40"/>
                <w:szCs w:val="40"/>
              </w:rPr>
              <w:t xml:space="preserve">01</w:t>
            </w:r>
          </w:p>
          <w:p>
            <w:pPr>
              <w:spacing w:after="0" w:before="0"/>
              <w:jc w:val="center"/>
            </w:pPr>
            <w:r>
              <w:rPr>
                <w:rFonts w:ascii="Arial" w:cs="Arial" w:eastAsia="Arial" w:hAnsi="Arial"/>
                <w:b/>
                <w:bCs/>
                <w:color w:val="FFFFFF"/>
                <w:sz w:val="18"/>
                <w:szCs w:val="18"/>
              </w:rPr>
              <w:t xml:space="preserve">Conocer el ecosistema</w:t>
            </w:r>
          </w:p>
        </w:tc>
        <w:tc>
          <w:tcPr>
            <w:tcW w:type="dxa" w:w="8638"/>
            <w:tcBorders>
              <w:top w:val="none" w:color="FFFFFF" w:sz="0"/>
              <w:left w:val="none" w:color="FFFFFF" w:sz="0"/>
              <w:bottom w:val="none" w:color="FFFFFF" w:sz="0"/>
              <w:right w:val="none" w:color="FFFFFF" w:sz="0"/>
            </w:tcBorders>
            <w:shd w:fill="F5F5F5" w:val="clear"/>
            <w:tcMar>
              <w:top w:type="dxa" w:w="80"/>
              <w:left w:type="dxa" w:w="120"/>
              <w:bottom w:type="dxa" w:w="2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Revisar el Documento de Diseño de la Ventanilla Única del Registro Social de Hogares (Subdirección de Pobreza y Focalización — Departamento Nacional de Planeación, 2024).</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Consultar el estado de implementación del piloto de la Ventanilla Única en los territorios priorizados y los municipios donde ya opera.</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Identificar el enlace técnico del Departamento Nacional de Planeación responsable del proceso en la región del municipio acompañado.</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000"/>
        <w:gridCol w:w="8638"/>
      </w:tblGrid>
      <w:tr>
        <w:tc>
          <w:tcPr>
            <w:tcW w:type="dxa" w:w="1000"/>
            <w:vMerge w:val="restart"/>
            <w:tcBorders>
              <w:top w:val="none" w:color="FFFFFF" w:sz="0"/>
              <w:left w:val="none" w:color="FFFFFF" w:sz="0"/>
              <w:bottom w:val="none" w:color="FFFFFF" w:sz="0"/>
              <w:right w:val="none" w:color="FFFFFF" w:sz="0"/>
            </w:tcBorders>
            <w:shd w:fill="1CABE2" w:val="clear"/>
            <w:tcMar>
              <w:top w:type="dxa" w:w="80"/>
              <w:left w:type="dxa" w:w="80"/>
              <w:bottom w:type="dxa" w:w="80"/>
              <w:right w:type="dxa" w:w="80"/>
            </w:tcMar>
            <w:vAlign w:val="center"/>
          </w:tcPr>
          <w:p>
            <w:pPr>
              <w:spacing w:after="0" w:before="0"/>
              <w:jc w:val="center"/>
            </w:pPr>
            <w:r>
              <w:rPr>
                <w:rFonts w:ascii="Arial" w:cs="Arial" w:eastAsia="Arial" w:hAnsi="Arial"/>
                <w:b/>
                <w:bCs/>
                <w:color w:val="FFFFFF"/>
                <w:sz w:val="40"/>
                <w:szCs w:val="40"/>
              </w:rPr>
              <w:t xml:space="preserve">02</w:t>
            </w:r>
          </w:p>
          <w:p>
            <w:pPr>
              <w:spacing w:after="0" w:before="0"/>
              <w:jc w:val="center"/>
            </w:pPr>
            <w:r>
              <w:rPr>
                <w:rFonts w:ascii="Arial" w:cs="Arial" w:eastAsia="Arial" w:hAnsi="Arial"/>
                <w:b/>
                <w:bCs/>
                <w:color w:val="FFFFFF"/>
                <w:sz w:val="18"/>
                <w:szCs w:val="18"/>
              </w:rPr>
              <w:t xml:space="preserve">Activar convenio o acuerdo formal</w:t>
            </w:r>
          </w:p>
        </w:tc>
        <w:tc>
          <w:tcPr>
            <w:tcW w:type="dxa" w:w="8638"/>
            <w:tcBorders>
              <w:top w:val="none" w:color="FFFFFF" w:sz="0"/>
              <w:left w:val="none" w:color="FFFFFF" w:sz="0"/>
              <w:bottom w:val="none" w:color="FFFFFF" w:sz="0"/>
              <w:right w:val="none" w:color="FFFFFF" w:sz="0"/>
            </w:tcBorders>
            <w:shd w:fill="F5F5F5" w:val="clear"/>
            <w:tcMar>
              <w:top w:type="dxa" w:w="80"/>
              <w:left w:type="dxa" w:w="120"/>
              <w:bottom w:type="dxa" w:w="2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El equipo técnico municipal o el asesor territorial del Modelo debe gestionar, a través de la Secretaría de Gobierno o de Desarrollo Social, la firma de una carta de intención con el Departamento Nacional de Planeación para incorporar la oferta del sistema local de cuidados y apoyos en la plataforma de la Ventanilla Única.</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Esta carta de intención es el primer requisito del proceso de alistamiento de la Ventanilla (Fase 1 del modelo del Departamento Nacional de Planeación).</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Para municipios donde la Ventanilla Única aún no opera, el equipo del Modelo puede articular con la oficina del Sistema de Identificación de Potenciales Beneficiarios que cumple funciones equivalentes en la transición.</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000"/>
        <w:gridCol w:w="8638"/>
      </w:tblGrid>
      <w:tr>
        <w:tc>
          <w:tcPr>
            <w:tcW w:type="dxa" w:w="1000"/>
            <w:vMerge w:val="restart"/>
            <w:tcBorders>
              <w:top w:val="none" w:color="FFFFFF" w:sz="0"/>
              <w:left w:val="none" w:color="FFFFFF" w:sz="0"/>
              <w:bottom w:val="none" w:color="FFFFFF" w:sz="0"/>
              <w:right w:val="none" w:color="FFFFFF" w:sz="0"/>
            </w:tcBorders>
            <w:shd w:fill="374EA2" w:val="clear"/>
            <w:tcMar>
              <w:top w:type="dxa" w:w="80"/>
              <w:left w:type="dxa" w:w="80"/>
              <w:bottom w:type="dxa" w:w="80"/>
              <w:right w:type="dxa" w:w="80"/>
            </w:tcMar>
            <w:vAlign w:val="center"/>
          </w:tcPr>
          <w:p>
            <w:pPr>
              <w:spacing w:after="0" w:before="0"/>
              <w:jc w:val="center"/>
            </w:pPr>
            <w:r>
              <w:rPr>
                <w:rFonts w:ascii="Arial" w:cs="Arial" w:eastAsia="Arial" w:hAnsi="Arial"/>
                <w:b/>
                <w:bCs/>
                <w:color w:val="FFFFFF"/>
                <w:sz w:val="40"/>
                <w:szCs w:val="40"/>
              </w:rPr>
              <w:t xml:space="preserve">03</w:t>
            </w:r>
          </w:p>
          <w:p>
            <w:pPr>
              <w:spacing w:after="0" w:before="0"/>
              <w:jc w:val="center"/>
            </w:pPr>
            <w:r>
              <w:rPr>
                <w:rFonts w:ascii="Arial" w:cs="Arial" w:eastAsia="Arial" w:hAnsi="Arial"/>
                <w:b/>
                <w:bCs/>
                <w:color w:val="FFFFFF"/>
                <w:sz w:val="18"/>
                <w:szCs w:val="18"/>
              </w:rPr>
              <w:t xml:space="preserve">Mapear y registrar la oferta del Modelo en la Ventanilla</w:t>
            </w:r>
          </w:p>
        </w:tc>
        <w:tc>
          <w:tcPr>
            <w:tcW w:type="dxa" w:w="8638"/>
            <w:tcBorders>
              <w:top w:val="none" w:color="FFFFFF" w:sz="0"/>
              <w:left w:val="none" w:color="FFFFFF" w:sz="0"/>
              <w:bottom w:val="none" w:color="FFFFFF" w:sz="0"/>
              <w:right w:val="none" w:color="FFFFFF" w:sz="0"/>
            </w:tcBorders>
            <w:shd w:fill="F5F5F5" w:val="clear"/>
            <w:tcMar>
              <w:top w:type="dxa" w:w="80"/>
              <w:left w:type="dxa" w:w="120"/>
              <w:bottom w:type="dxa" w:w="2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Elaborar el inventario de servicios del sistema local de cuidados y apoyos que pueden ser ofertados a través de la plataforma: apoyos en el hogar, centros de día, grupos de respiro para cuidadores, transferencias locales, servicios de rehabilitación comunitaria, entre otros.</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Cargar esta oferta en la plataforma de la Ventanilla Única (Fase 2 del proceso de alistamiento) con los criterios de elegibilidad y focalización definidos por el municipio.</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Asegurarse de que los criterios incluyan variables de discapacidad, rol de cuidado y condición de género como factores de priorización.</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000"/>
        <w:gridCol w:w="8638"/>
      </w:tblGrid>
      <w:tr>
        <w:tc>
          <w:tcPr>
            <w:tcW w:type="dxa" w:w="1000"/>
            <w:vMerge w:val="restart"/>
            <w:tcBorders>
              <w:top w:val="none" w:color="FFFFFF" w:sz="0"/>
              <w:left w:val="none" w:color="FFFFFF" w:sz="0"/>
              <w:bottom w:val="none" w:color="FFFFFF" w:sz="0"/>
              <w:right w:val="none" w:color="FFFFFF" w:sz="0"/>
            </w:tcBorders>
            <w:shd w:fill="80BD41" w:val="clear"/>
            <w:tcMar>
              <w:top w:type="dxa" w:w="80"/>
              <w:left w:type="dxa" w:w="80"/>
              <w:bottom w:type="dxa" w:w="80"/>
              <w:right w:type="dxa" w:w="80"/>
            </w:tcMar>
            <w:vAlign w:val="center"/>
          </w:tcPr>
          <w:p>
            <w:pPr>
              <w:spacing w:after="0" w:before="0"/>
              <w:jc w:val="center"/>
            </w:pPr>
            <w:r>
              <w:rPr>
                <w:rFonts w:ascii="Arial" w:cs="Arial" w:eastAsia="Arial" w:hAnsi="Arial"/>
                <w:b/>
                <w:bCs/>
                <w:color w:val="FFFFFF"/>
                <w:sz w:val="40"/>
                <w:szCs w:val="40"/>
              </w:rPr>
              <w:t xml:space="preserve">04</w:t>
            </w:r>
          </w:p>
          <w:p>
            <w:pPr>
              <w:spacing w:after="0" w:before="0"/>
              <w:jc w:val="center"/>
            </w:pPr>
            <w:r>
              <w:rPr>
                <w:rFonts w:ascii="Arial" w:cs="Arial" w:eastAsia="Arial" w:hAnsi="Arial"/>
                <w:b/>
                <w:bCs/>
                <w:color w:val="FFFFFF"/>
                <w:sz w:val="18"/>
                <w:szCs w:val="18"/>
              </w:rPr>
              <w:t xml:space="preserve">Capacitar al personal de la Ventanilla en el Modelo</w:t>
            </w:r>
          </w:p>
        </w:tc>
        <w:tc>
          <w:tcPr>
            <w:tcW w:type="dxa" w:w="8638"/>
            <w:tcBorders>
              <w:top w:val="none" w:color="FFFFFF" w:sz="0"/>
              <w:left w:val="none" w:color="FFFFFF" w:sz="0"/>
              <w:bottom w:val="none" w:color="FFFFFF" w:sz="0"/>
              <w:right w:val="none" w:color="FFFFFF" w:sz="0"/>
            </w:tcBorders>
            <w:shd w:fill="F5F5F5" w:val="clear"/>
            <w:tcMar>
              <w:top w:type="dxa" w:w="80"/>
              <w:left w:type="dxa" w:w="120"/>
              <w:bottom w:type="dxa" w:w="2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El asesor territorial del Modelo debe facilitar una sesión de capacitación para el equipo de la Ventanilla sobre: qué es el Modelo, a quiénes atiende, cuáles son sus servicios y cuáles son las rutas de derivación.</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El personal de la Ventanilla debe conocer el instrumento de diagnóstico territorial del Modelo y saber cuándo activar la derivación al equipo del Modelo.</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Esta capacitación debe actualizarse cuando se produzcan cambios en la oferta del Modelo o en los criterios de elegibilidad.</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000"/>
        <w:gridCol w:w="8638"/>
      </w:tblGrid>
      <w:tr>
        <w:tc>
          <w:tcPr>
            <w:tcW w:type="dxa" w:w="1000"/>
            <w:vMerge w:val="restart"/>
            <w:tcBorders>
              <w:top w:val="none" w:color="FFFFFF" w:sz="0"/>
              <w:left w:val="none" w:color="FFFFFF" w:sz="0"/>
              <w:bottom w:val="none" w:color="FFFFFF" w:sz="0"/>
              <w:right w:val="none" w:color="FFFFFF" w:sz="0"/>
            </w:tcBorders>
            <w:shd w:fill="F26A21" w:val="clear"/>
            <w:tcMar>
              <w:top w:type="dxa" w:w="80"/>
              <w:left w:type="dxa" w:w="80"/>
              <w:bottom w:type="dxa" w:w="80"/>
              <w:right w:type="dxa" w:w="80"/>
            </w:tcMar>
            <w:vAlign w:val="center"/>
          </w:tcPr>
          <w:p>
            <w:pPr>
              <w:spacing w:after="0" w:before="0"/>
              <w:jc w:val="center"/>
            </w:pPr>
            <w:r>
              <w:rPr>
                <w:rFonts w:ascii="Arial" w:cs="Arial" w:eastAsia="Arial" w:hAnsi="Arial"/>
                <w:b/>
                <w:bCs/>
                <w:color w:val="FFFFFF"/>
                <w:sz w:val="40"/>
                <w:szCs w:val="40"/>
              </w:rPr>
              <w:t xml:space="preserve">05</w:t>
            </w:r>
          </w:p>
          <w:p>
            <w:pPr>
              <w:spacing w:after="0" w:before="0"/>
              <w:jc w:val="center"/>
            </w:pPr>
            <w:r>
              <w:rPr>
                <w:rFonts w:ascii="Arial" w:cs="Arial" w:eastAsia="Arial" w:hAnsi="Arial"/>
                <w:b/>
                <w:bCs/>
                <w:color w:val="FFFFFF"/>
                <w:sz w:val="18"/>
                <w:szCs w:val="18"/>
              </w:rPr>
              <w:t xml:space="preserve">Establecer el mecanismo de derivación y retroalimentación</w:t>
            </w:r>
          </w:p>
        </w:tc>
        <w:tc>
          <w:tcPr>
            <w:tcW w:type="dxa" w:w="8638"/>
            <w:tcBorders>
              <w:top w:val="none" w:color="FFFFFF" w:sz="0"/>
              <w:left w:val="none" w:color="FFFFFF" w:sz="0"/>
              <w:bottom w:val="none" w:color="FFFFFF" w:sz="0"/>
              <w:right w:val="none" w:color="FFFFFF" w:sz="0"/>
            </w:tcBorders>
            <w:shd w:fill="F5F5F5" w:val="clear"/>
            <w:tcMar>
              <w:top w:type="dxa" w:w="80"/>
              <w:left w:type="dxa" w:w="120"/>
              <w:bottom w:type="dxa" w:w="2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Definir un protocolo escrito que establezca: los criterios de derivación desde la Ventanilla al Modelo, el formato o mecanismo de referencia del caso, el tiempo de respuesta esperado, y el mecanismo de retroalimentación al usuario.</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El protocolo debe garantizar que la información del Registro Social de Hogares sea compartida con el equipo del Modelo con el consentimiento del usuario, evitando la duplicación de la recolección de datos.</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Establecer una reunión periódica (mensual o bimensual) entre el equipo de la Ventanilla y el equipo del Modelo para revisar casos, ajustar criterios y actualizar el mapeo de oferta.</w:t>
            </w:r>
          </w:p>
        </w:tc>
      </w:tr>
    </w:tbl>
    <w:p>
      <w:pPr>
        <w:spacing w:after="0" w:before="100"/>
      </w:pPr>
    </w:p>
    <w:p>
      <w:pPr>
        <w:pStyle w:val="Heading2"/>
        <w:spacing w:after="80" w:before="200"/>
      </w:pPr>
      <w:r>
        <w:rPr>
          <w:rFonts w:ascii="Arial" w:cs="Arial" w:eastAsia="Arial" w:hAnsi="Arial"/>
          <w:b/>
          <w:bCs/>
          <w:color w:val="1CABE2"/>
          <w:sz w:val="26"/>
          <w:szCs w:val="26"/>
        </w:rPr>
        <w:t xml:space="preserve">4.2 Articulación con las Secretarías municipales — nivel territorial</w:t>
      </w:r>
    </w:p>
    <w:p>
      <w:pPr>
        <w:spacing w:after="0" w:before="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000"/>
        <w:gridCol w:w="8638"/>
      </w:tblGrid>
      <w:tr>
        <w:tc>
          <w:tcPr>
            <w:tcW w:type="dxa" w:w="1000"/>
            <w:vMerge w:val="restart"/>
            <w:tcBorders>
              <w:top w:val="none" w:color="FFFFFF" w:sz="0"/>
              <w:left w:val="none" w:color="FFFFFF" w:sz="0"/>
              <w:bottom w:val="none" w:color="FFFFFF" w:sz="0"/>
              <w:right w:val="none" w:color="FFFFFF" w:sz="0"/>
            </w:tcBorders>
            <w:shd w:fill="00629B" w:val="clear"/>
            <w:tcMar>
              <w:top w:type="dxa" w:w="80"/>
              <w:left w:type="dxa" w:w="80"/>
              <w:bottom w:type="dxa" w:w="80"/>
              <w:right w:type="dxa" w:w="80"/>
            </w:tcMar>
            <w:vAlign w:val="center"/>
          </w:tcPr>
          <w:p>
            <w:pPr>
              <w:spacing w:after="0" w:before="0"/>
              <w:jc w:val="center"/>
            </w:pPr>
            <w:r>
              <w:rPr>
                <w:rFonts w:ascii="Arial" w:cs="Arial" w:eastAsia="Arial" w:hAnsi="Arial"/>
                <w:b/>
                <w:bCs/>
                <w:color w:val="FFFFFF"/>
                <w:sz w:val="40"/>
                <w:szCs w:val="40"/>
              </w:rPr>
              <w:t xml:space="preserve">06</w:t>
            </w:r>
          </w:p>
          <w:p>
            <w:pPr>
              <w:spacing w:after="0" w:before="0"/>
              <w:jc w:val="center"/>
            </w:pPr>
            <w:r>
              <w:rPr>
                <w:rFonts w:ascii="Arial" w:cs="Arial" w:eastAsia="Arial" w:hAnsi="Arial"/>
                <w:b/>
                <w:bCs/>
                <w:color w:val="FFFFFF"/>
                <w:sz w:val="18"/>
                <w:szCs w:val="18"/>
              </w:rPr>
              <w:t xml:space="preserve">Identificar las secretarías responsables de la oferta</w:t>
            </w:r>
          </w:p>
        </w:tc>
        <w:tc>
          <w:tcPr>
            <w:tcW w:type="dxa" w:w="8638"/>
            <w:tcBorders>
              <w:top w:val="none" w:color="FFFFFF" w:sz="0"/>
              <w:left w:val="none" w:color="FFFFFF" w:sz="0"/>
              <w:bottom w:val="none" w:color="FFFFFF" w:sz="0"/>
              <w:right w:val="none" w:color="FFFFFF" w:sz="0"/>
            </w:tcBorders>
            <w:shd w:fill="F5F5F5" w:val="clear"/>
            <w:tcMar>
              <w:top w:type="dxa" w:w="80"/>
              <w:left w:type="dxa" w:w="120"/>
              <w:bottom w:type="dxa" w:w="2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En cada municipio, identificar qué secretarías o dependencias tienen a su cargo la oferta de servicios para personas con discapacidad, cuidadores y familias: Secretaría de Salud, de Desarrollo Social, de Educación, de Mujer y Género, entre otras.</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Verificar cuáles de estas dependencias ya están articuladas con la Ventanilla Única y cuáles operan de forma independiente.</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El diagnóstico territorial del Modelo (Capacidad 1, Paso 2) debe incluir este mapeo institucional.</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000"/>
        <w:gridCol w:w="8638"/>
      </w:tblGrid>
      <w:tr>
        <w:tc>
          <w:tcPr>
            <w:tcW w:type="dxa" w:w="1000"/>
            <w:vMerge w:val="restart"/>
            <w:tcBorders>
              <w:top w:val="none" w:color="FFFFFF" w:sz="0"/>
              <w:left w:val="none" w:color="FFFFFF" w:sz="0"/>
              <w:bottom w:val="none" w:color="FFFFFF" w:sz="0"/>
              <w:right w:val="none" w:color="FFFFFF" w:sz="0"/>
            </w:tcBorders>
            <w:shd w:fill="1CABE2" w:val="clear"/>
            <w:tcMar>
              <w:top w:type="dxa" w:w="80"/>
              <w:left w:type="dxa" w:w="80"/>
              <w:bottom w:type="dxa" w:w="80"/>
              <w:right w:type="dxa" w:w="80"/>
            </w:tcMar>
            <w:vAlign w:val="center"/>
          </w:tcPr>
          <w:p>
            <w:pPr>
              <w:spacing w:after="0" w:before="0"/>
              <w:jc w:val="center"/>
            </w:pPr>
            <w:r>
              <w:rPr>
                <w:rFonts w:ascii="Arial" w:cs="Arial" w:eastAsia="Arial" w:hAnsi="Arial"/>
                <w:b/>
                <w:bCs/>
                <w:color w:val="FFFFFF"/>
                <w:sz w:val="40"/>
                <w:szCs w:val="40"/>
              </w:rPr>
              <w:t xml:space="preserve">07</w:t>
            </w:r>
          </w:p>
          <w:p>
            <w:pPr>
              <w:spacing w:after="0" w:before="0"/>
              <w:jc w:val="center"/>
            </w:pPr>
            <w:r>
              <w:rPr>
                <w:rFonts w:ascii="Arial" w:cs="Arial" w:eastAsia="Arial" w:hAnsi="Arial"/>
                <w:b/>
                <w:bCs/>
                <w:color w:val="FFFFFF"/>
                <w:sz w:val="18"/>
                <w:szCs w:val="18"/>
              </w:rPr>
              <w:t xml:space="preserve">Integrar el sistema local de cuidados en el Plan de Desarrollo Municipal</w:t>
            </w:r>
          </w:p>
        </w:tc>
        <w:tc>
          <w:tcPr>
            <w:tcW w:type="dxa" w:w="8638"/>
            <w:tcBorders>
              <w:top w:val="none" w:color="FFFFFF" w:sz="0"/>
              <w:left w:val="none" w:color="FFFFFF" w:sz="0"/>
              <w:bottom w:val="none" w:color="FFFFFF" w:sz="0"/>
              <w:right w:val="none" w:color="FFFFFF" w:sz="0"/>
            </w:tcBorders>
            <w:shd w:fill="F5F5F5" w:val="clear"/>
            <w:tcMar>
              <w:top w:type="dxa" w:w="80"/>
              <w:left w:type="dxa" w:w="120"/>
              <w:bottom w:type="dxa" w:w="2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Gestionar que los servicios del sistema local de cuidados y apoyos queden incluidos en el portafolio de oferta social que las secretarías registran en la Ventanilla Única.</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Esto requiere un acuerdo formal de la Secretaría responsable del Modelo con la dependencia encargada de operar la Ventanilla en el municipio.</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El registro de la oferta en la Ventanilla da visibilidad al Modelo frente a toda la población del municipio registrada en el Registro Social de Hogares.</w:t>
            </w:r>
          </w:p>
        </w:tc>
      </w:tr>
    </w:tbl>
    <w:p>
      <w:pPr>
        <w:spacing w:after="0"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000"/>
        <w:gridCol w:w="8638"/>
      </w:tblGrid>
      <w:tr>
        <w:tc>
          <w:tcPr>
            <w:tcW w:type="dxa" w:w="1000"/>
            <w:vMerge w:val="restart"/>
            <w:tcBorders>
              <w:top w:val="none" w:color="FFFFFF" w:sz="0"/>
              <w:left w:val="none" w:color="FFFFFF" w:sz="0"/>
              <w:bottom w:val="none" w:color="FFFFFF" w:sz="0"/>
              <w:right w:val="none" w:color="FFFFFF" w:sz="0"/>
            </w:tcBorders>
            <w:shd w:fill="374EA2" w:val="clear"/>
            <w:tcMar>
              <w:top w:type="dxa" w:w="80"/>
              <w:left w:type="dxa" w:w="80"/>
              <w:bottom w:type="dxa" w:w="80"/>
              <w:right w:type="dxa" w:w="80"/>
            </w:tcMar>
            <w:vAlign w:val="center"/>
          </w:tcPr>
          <w:p>
            <w:pPr>
              <w:spacing w:after="0" w:before="0"/>
              <w:jc w:val="center"/>
            </w:pPr>
            <w:r>
              <w:rPr>
                <w:rFonts w:ascii="Arial" w:cs="Arial" w:eastAsia="Arial" w:hAnsi="Arial"/>
                <w:b/>
                <w:bCs/>
                <w:color w:val="FFFFFF"/>
                <w:sz w:val="40"/>
                <w:szCs w:val="40"/>
              </w:rPr>
              <w:t xml:space="preserve">08</w:t>
            </w:r>
          </w:p>
          <w:p>
            <w:pPr>
              <w:spacing w:after="0" w:before="0"/>
              <w:jc w:val="center"/>
            </w:pPr>
            <w:r>
              <w:rPr>
                <w:rFonts w:ascii="Arial" w:cs="Arial" w:eastAsia="Arial" w:hAnsi="Arial"/>
                <w:b/>
                <w:bCs/>
                <w:color w:val="FFFFFF"/>
                <w:sz w:val="18"/>
                <w:szCs w:val="18"/>
              </w:rPr>
              <w:t xml:space="preserve">Coordinar el proceso de alistamiento de la Ventanilla con los equipos del Modelo</w:t>
            </w:r>
          </w:p>
        </w:tc>
        <w:tc>
          <w:tcPr>
            <w:tcW w:type="dxa" w:w="8638"/>
            <w:tcBorders>
              <w:top w:val="none" w:color="FFFFFF" w:sz="0"/>
              <w:left w:val="none" w:color="FFFFFF" w:sz="0"/>
              <w:bottom w:val="none" w:color="FFFFFF" w:sz="0"/>
              <w:right w:val="none" w:color="FFFFFF" w:sz="0"/>
            </w:tcBorders>
            <w:shd w:fill="F5F5F5" w:val="clear"/>
            <w:tcMar>
              <w:top w:type="dxa" w:w="80"/>
              <w:left w:type="dxa" w:w="120"/>
              <w:bottom w:type="dxa" w:w="20"/>
              <w:right w:type="dxa" w:w="120"/>
            </w:tcMar>
          </w:tcPr>
          <w:p>
            <w:pPr>
              <w:spacing w:after="0" w:before="0"/>
            </w:pP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Participar activamente en las cuatro fases del alistamiento de la Ventanilla definidas por el Departamento Nacional de Planeación: diagnóstico, registro de oferta, proceso de atención y asignación.</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En la Fase 3 (proceso de atención), asegurarse de que los protocolos de atención al ciudadano incorporen el trato diferencial para personas con discapacidad según los lineamientos del Departamento Administrativo de la Función Pública.</w:t>
            </w:r>
          </w:p>
        </w:tc>
      </w:tr>
      <w:tr>
        <w:tc>
          <w:tcPr>
            <w:vMerge w:val="continue"/>
            <w:tcBorders>
              <w:top w:val="none" w:color="FFFFFF" w:sz="0"/>
              <w:left w:val="none" w:color="FFFFFF" w:sz="0"/>
              <w:bottom w:val="none" w:color="FFFFFF" w:sz="0"/>
              <w:right w:val="none" w:color="FFFFFF" w:sz="0"/>
            </w:tcBorders>
          </w:tcPr>
          <w:p/>
        </w:tc>
        <w:tc>
          <w:tcPr>
            <w:tcW w:type="dxa" w:w="1000"/>
            <w:tcBorders>
              <w:top w:val="none" w:color="FFFFFF" w:sz="0"/>
              <w:left w:val="none" w:color="FFFFFF" w:sz="0"/>
              <w:bottom w:val="none" w:color="FFFFFF" w:sz="0"/>
              <w:right w:val="none" w:color="FFFFFF" w:sz="0"/>
            </w:tcBorders>
            <w:shd w:fill="F5F5F5" w:val="clear"/>
            <w:tcMar>
              <w:top w:type="dxa" w:w="40"/>
              <w:left w:type="dxa" w:w="80"/>
              <w:bottom w:type="dxa" w:w="40"/>
              <w:right w:type="dxa" w:w="80"/>
            </w:tcMar>
          </w:tcPr>
          <w:p>
            <w:pPr>
              <w:spacing w:after="0" w:before="0"/>
            </w:pPr>
          </w:p>
        </w:tc>
        <w:tc>
          <w:tcPr>
            <w:tcW w:type="dxa" w:w="8638"/>
            <w:tcBorders>
              <w:top w:val="none" w:color="FFFFFF" w:sz="0"/>
              <w:left w:val="none" w:color="FFFFFF" w:sz="0"/>
              <w:bottom w:val="none" w:color="FFFFFF" w:sz="0"/>
              <w:right w:val="none" w:color="FFFFFF" w:sz="0"/>
            </w:tcBorders>
            <w:shd w:fill="F5F5F5" w:val="clear"/>
            <w:tcMar>
              <w:top w:type="dxa" w:w="40"/>
              <w:left w:type="dxa" w:w="120"/>
              <w:bottom w:type="dxa" w:w="40"/>
              <w:right w:type="dxa" w:w="120"/>
            </w:tcMar>
          </w:tcPr>
          <w:p>
            <w:pPr>
              <w:pStyle w:val="ListParagraph"/>
              <w:numPr>
                <w:ilvl w:val="0"/>
                <w:numId w:val="2"/>
              </w:numPr>
              <w:spacing w:after="20" w:before="20"/>
            </w:pPr>
            <w:r>
              <w:rPr>
                <w:rFonts w:ascii="Arial" w:cs="Arial" w:eastAsia="Arial" w:hAnsi="Arial"/>
                <w:color w:val="444444"/>
                <w:sz w:val="21"/>
                <w:szCs w:val="21"/>
              </w:rPr>
              <w:t xml:space="preserve">En la Fase 4 (asignación), verificar que los programas del Modelo sean asignados con los criterios de focalización acordados.</w:t>
            </w:r>
          </w:p>
        </w:tc>
      </w:tr>
    </w:tbl>
    <w:p>
      <w:pPr>
        <w:spacing w:after="0" w:before="80"/>
      </w:pPr>
    </w:p>
    <w:p>
      <w:r>
        <w:br w:type="page"/>
      </w:r>
    </w:p>
    <w:p>
      <w:pPr>
        <w:pStyle w:val="Heading1"/>
        <w:spacing w:after="120" w:before="240"/>
      </w:pPr>
      <w:r>
        <w:rPr>
          <w:rFonts w:ascii="Arial" w:cs="Arial" w:eastAsia="Arial" w:hAnsi="Arial"/>
          <w:b/>
          <w:bCs/>
          <w:color w:val="00629B"/>
          <w:sz w:val="32"/>
          <w:szCs w:val="32"/>
        </w:rPr>
        <w:t xml:space="preserve">5. Estándares de servicio al ciudadano para personas con discapacidad, familias y cuidadores</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444444"/>
          <w:sz w:val="22"/>
          <w:szCs w:val="22"/>
        </w:rPr>
        <w:t xml:space="preserve">Las personas con discapacidad, sus familias y cuidadores enfrentan barreras específicas en el acceso a los servicios públicos que no son atendidas por los protocolos generales de servicio al ciudadano. Esta sección sintetiza los estándares aplicables a la atención de esta población en las Ventanillas Únicas Sociales y en las Oficinas de Servicio al Ciudadano, tomando como base los protocolos del Departamento Administrativo de la Función Pública (2017) y las guías del Programa Nacional de Servicio al Ciudadano.</w:t>
      </w:r>
    </w:p>
    <w:p>
      <w:pPr>
        <w:pStyle w:val="Heading2"/>
        <w:spacing w:after="80" w:before="200"/>
      </w:pPr>
      <w:r>
        <w:rPr>
          <w:rFonts w:ascii="Arial" w:cs="Arial" w:eastAsia="Arial" w:hAnsi="Arial"/>
          <w:b/>
          <w:bCs/>
          <w:color w:val="1CABE2"/>
          <w:sz w:val="26"/>
          <w:szCs w:val="26"/>
        </w:rPr>
        <w:t xml:space="preserve">5.1 Canales de servicio y accesibilidad</w:t>
      </w:r>
    </w:p>
    <w:p>
      <w:pPr>
        <w:spacing w:after="60" w:before="60"/>
        <w:jc w:val="both"/>
      </w:pPr>
      <w:r>
        <w:rPr>
          <w:rFonts w:ascii="Arial" w:cs="Arial" w:eastAsia="Arial" w:hAnsi="Arial"/>
          <w:b w:val="false"/>
          <w:bCs w:val="false"/>
          <w:i w:val="false"/>
          <w:iCs w:val="false"/>
          <w:color w:val="444444"/>
          <w:sz w:val="22"/>
          <w:szCs w:val="22"/>
        </w:rPr>
        <w:t xml:space="preserve">Toda Ventanilla Única Social debe garantizar que los cuatro canales de servicio —presencial, telefónico, escrito y virtual— sean accesibles para personas con discapacidad: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120"/>
        <w:gridCol w:w="7518"/>
      </w:tblGrid>
      <w:tr>
        <w:tc>
          <w:tcPr>
            <w:tcW w:type="dxa" w:w="2120"/>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Canal</w:t>
            </w:r>
          </w:p>
        </w:tc>
        <w:tc>
          <w:tcPr>
            <w:tcW w:type="dxa" w:w="7518"/>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Requisitos de accesibilidad</w:t>
            </w:r>
          </w:p>
        </w:tc>
      </w:tr>
      <w:tr>
        <w:tc>
          <w:tcPr>
            <w:tcW w:type="dxa" w:w="2120"/>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Presencial</w:t>
            </w:r>
          </w:p>
        </w:tc>
        <w:tc>
          <w:tcPr>
            <w:tcW w:type="dxa" w:w="7518"/>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Espacios físicos accesibles para personas usuarias de sillas de ruedas, personas con movilidad reducida y personas de talla baja. Turno preferencial sin necesidad de solicitarlo. Disponibilidad de acompañante de apoyo. Software de magnificación y lector de pantalla para personas con discapacidad visual.</w:t>
            </w:r>
          </w:p>
        </w:tc>
      </w:tr>
      <w:tr>
        <w:tc>
          <w:tcPr>
            <w:tcW w:type="dxa" w:w="212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Telefónico</w:t>
            </w:r>
          </w:p>
        </w:tc>
        <w:tc>
          <w:tcPr>
            <w:tcW w:type="dxa" w:w="7518"/>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Línea preferencial para personas con discapacidad. Acceso al Centro de Relevo (comunicación con intérpretes de Lengua de Señas Colombiana en línea) para personas con discapacidad auditiva.</w:t>
            </w:r>
          </w:p>
        </w:tc>
      </w:tr>
      <w:tr>
        <w:tc>
          <w:tcPr>
            <w:tcW w:type="dxa" w:w="2120"/>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Virtual</w:t>
            </w:r>
          </w:p>
        </w:tc>
        <w:tc>
          <w:tcPr>
            <w:tcW w:type="dxa" w:w="7518"/>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Plataformas web accesibles según estándares de accesibilidad web (pautas de accesibilidad para el contenido en la web — versión 2.1). Opción de chat con intérprete de Lengua de Señas Colombiana.</w:t>
            </w:r>
          </w:p>
        </w:tc>
      </w:tr>
      <w:tr>
        <w:tc>
          <w:tcPr>
            <w:tcW w:type="dxa" w:w="212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Escrito</w:t>
            </w:r>
          </w:p>
        </w:tc>
        <w:tc>
          <w:tcPr>
            <w:tcW w:type="dxa" w:w="7518"/>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Formatos alternativos: lectura fácil para personas con discapacidad cognitiva; documentos en texto plano para personas que usen lectores de pantalla; formatos en audio cuando sea necesario.</w:t>
            </w:r>
          </w:p>
        </w:tc>
      </w:tr>
    </w:tbl>
    <w:p>
      <w:pPr>
        <w:spacing w:after="0" w:before="100"/>
      </w:pPr>
    </w:p>
    <w:p>
      <w:pPr>
        <w:pStyle w:val="Heading2"/>
        <w:spacing w:after="80" w:before="200"/>
      </w:pPr>
      <w:r>
        <w:rPr>
          <w:rFonts w:ascii="Arial" w:cs="Arial" w:eastAsia="Arial" w:hAnsi="Arial"/>
          <w:b/>
          <w:bCs/>
          <w:color w:val="1CABE2"/>
          <w:sz w:val="26"/>
          <w:szCs w:val="26"/>
        </w:rPr>
        <w:t xml:space="preserve">5.2 Atención preferencial — personas con discapacidad</w:t>
      </w:r>
    </w:p>
    <w:p>
      <w:pPr>
        <w:spacing w:after="60" w:before="60"/>
        <w:jc w:val="both"/>
      </w:pPr>
      <w:r>
        <w:rPr>
          <w:rFonts w:ascii="Arial" w:cs="Arial" w:eastAsia="Arial" w:hAnsi="Arial"/>
          <w:b w:val="false"/>
          <w:bCs w:val="false"/>
          <w:i w:val="false"/>
          <w:iCs w:val="false"/>
          <w:color w:val="444444"/>
          <w:sz w:val="22"/>
          <w:szCs w:val="22"/>
        </w:rPr>
        <w:t xml:space="preserve">Conforme a los protocolos del Departamento Administrativo de la Función Pública, los servidores de la Ventanilla deben observar las siguientes reglas en la atención presencial a personas con discapacidad:</w:t>
      </w:r>
    </w:p>
    <w:p>
      <w:pPr>
        <w:pStyle w:val="ListParagraph"/>
        <w:numPr>
          <w:ilvl w:val="0"/>
          <w:numId w:val="2"/>
        </w:numPr>
        <w:spacing w:after="30" w:before="30"/>
      </w:pPr>
      <w:r>
        <w:rPr>
          <w:rFonts w:ascii="Arial" w:cs="Arial" w:eastAsia="Arial" w:hAnsi="Arial"/>
          <w:color w:val="444444"/>
          <w:sz w:val="22"/>
          <w:szCs w:val="22"/>
        </w:rPr>
        <w:t xml:space="preserve">No tratar a personas adultas con discapacidad como si fueran niñas o niños. Evitar tono aniñado, consentirles la cabeza o comportamientos similares.</w:t>
      </w:r>
    </w:p>
    <w:p>
      <w:pPr>
        <w:pStyle w:val="ListParagraph"/>
        <w:numPr>
          <w:ilvl w:val="0"/>
          <w:numId w:val="2"/>
        </w:numPr>
        <w:spacing w:after="30" w:before="30"/>
      </w:pPr>
      <w:r>
        <w:rPr>
          <w:rFonts w:ascii="Arial" w:cs="Arial" w:eastAsia="Arial" w:hAnsi="Arial"/>
          <w:color w:val="444444"/>
          <w:sz w:val="22"/>
          <w:szCs w:val="22"/>
        </w:rPr>
        <w:t xml:space="preserve">Antes de llevar a cabo cualquier acción de ayuda, preguntar: '¿Desea recibir ayuda? ¿Cómo desea que le colabore?'.</w:t>
      </w:r>
    </w:p>
    <w:p>
      <w:pPr>
        <w:pStyle w:val="ListParagraph"/>
        <w:numPr>
          <w:ilvl w:val="0"/>
          <w:numId w:val="2"/>
        </w:numPr>
        <w:spacing w:after="30" w:before="30"/>
      </w:pPr>
      <w:r>
        <w:rPr>
          <w:rFonts w:ascii="Arial" w:cs="Arial" w:eastAsia="Arial" w:hAnsi="Arial"/>
          <w:color w:val="444444"/>
          <w:sz w:val="22"/>
          <w:szCs w:val="22"/>
        </w:rPr>
        <w:t xml:space="preserve">Cuando la persona lleve un acompañante, ser la persona con discapacidad quien indique si realizará la gestión directamente o prefiere que lo haga su acompañante.</w:t>
      </w:r>
    </w:p>
    <w:p>
      <w:pPr>
        <w:pStyle w:val="ListParagraph"/>
        <w:numPr>
          <w:ilvl w:val="0"/>
          <w:numId w:val="2"/>
        </w:numPr>
        <w:spacing w:after="30" w:before="30"/>
      </w:pPr>
      <w:r>
        <w:rPr>
          <w:rFonts w:ascii="Arial" w:cs="Arial" w:eastAsia="Arial" w:hAnsi="Arial"/>
          <w:color w:val="444444"/>
          <w:sz w:val="22"/>
          <w:szCs w:val="22"/>
        </w:rPr>
        <w:t xml:space="preserve">Verificar siempre que la información dada ha sido comprendida. Si es necesario, repetir en lenguaje claro y sencillo.</w:t>
      </w:r>
    </w:p>
    <w:p>
      <w:pPr>
        <w:pStyle w:val="ListParagraph"/>
        <w:numPr>
          <w:ilvl w:val="0"/>
          <w:numId w:val="2"/>
        </w:numPr>
        <w:spacing w:after="30" w:before="30"/>
      </w:pPr>
      <w:r>
        <w:rPr>
          <w:rFonts w:ascii="Arial" w:cs="Arial" w:eastAsia="Arial" w:hAnsi="Arial"/>
          <w:color w:val="444444"/>
          <w:sz w:val="22"/>
          <w:szCs w:val="22"/>
        </w:rPr>
        <w:t xml:space="preserve">Para personas con discapacidad visual: no halarlas de la ropa o el brazo; informar sobre las actividades que se están realizando; no separar a la persona de su perro guía.</w:t>
      </w:r>
    </w:p>
    <w:p>
      <w:pPr>
        <w:pStyle w:val="ListParagraph"/>
        <w:numPr>
          <w:ilvl w:val="0"/>
          <w:numId w:val="2"/>
        </w:numPr>
        <w:spacing w:after="30" w:before="30"/>
      </w:pPr>
      <w:r>
        <w:rPr>
          <w:rFonts w:ascii="Arial" w:cs="Arial" w:eastAsia="Arial" w:hAnsi="Arial"/>
          <w:color w:val="444444"/>
          <w:sz w:val="22"/>
          <w:szCs w:val="22"/>
        </w:rPr>
        <w:t xml:space="preserve">Para personas con discapacidad auditiva: hablar de frente, articulando claramente, sin cubrir la boca ni voltear la cara; conectarse con el Centro de Relevo cuando sea necesario.</w:t>
      </w:r>
    </w:p>
    <w:p>
      <w:pPr>
        <w:pStyle w:val="ListParagraph"/>
        <w:numPr>
          <w:ilvl w:val="0"/>
          <w:numId w:val="2"/>
        </w:numPr>
        <w:spacing w:after="30" w:before="30"/>
      </w:pPr>
      <w:r>
        <w:rPr>
          <w:rFonts w:ascii="Arial" w:cs="Arial" w:eastAsia="Arial" w:hAnsi="Arial"/>
          <w:color w:val="444444"/>
          <w:sz w:val="22"/>
          <w:szCs w:val="22"/>
        </w:rPr>
        <w:t xml:space="preserve">Para personas con discapacidad cognitiva: brindar información visual con mensajes concretos y cortos; ser paciente al hablar y al escuchar.</w:t>
      </w:r>
    </w:p>
    <w:p>
      <w:pPr>
        <w:pStyle w:val="ListParagraph"/>
        <w:numPr>
          <w:ilvl w:val="0"/>
          <w:numId w:val="2"/>
        </w:numPr>
        <w:spacing w:after="30" w:before="30"/>
      </w:pPr>
      <w:r>
        <w:rPr>
          <w:rFonts w:ascii="Arial" w:cs="Arial" w:eastAsia="Arial" w:hAnsi="Arial"/>
          <w:color w:val="444444"/>
          <w:sz w:val="22"/>
          <w:szCs w:val="22"/>
        </w:rPr>
        <w:t xml:space="preserve">Para personas con discapacidad física o motora: no tocar ni cambiar de lugar sus instrumentos de ayuda; si está en silla de ruedas, ubicarse a una distancia mínima de un metro para hablar.</w:t>
      </w:r>
    </w:p>
    <w:p>
      <w:pPr>
        <w:spacing w:after="0" w:before="80"/>
      </w:pPr>
    </w:p>
    <w:p>
      <w:pPr>
        <w:pStyle w:val="Heading2"/>
        <w:spacing w:after="80" w:before="200"/>
      </w:pPr>
      <w:r>
        <w:rPr>
          <w:rFonts w:ascii="Arial" w:cs="Arial" w:eastAsia="Arial" w:hAnsi="Arial"/>
          <w:b/>
          <w:bCs/>
          <w:color w:val="1CABE2"/>
          <w:sz w:val="26"/>
          <w:szCs w:val="26"/>
        </w:rPr>
        <w:t xml:space="preserve">5.3 Atención diferenciada para cuidadoras y cuidadores</w:t>
      </w:r>
    </w:p>
    <w:p>
      <w:pPr>
        <w:spacing w:after="60" w:before="60"/>
        <w:jc w:val="both"/>
      </w:pPr>
      <w:r>
        <w:rPr>
          <w:rFonts w:ascii="Arial" w:cs="Arial" w:eastAsia="Arial" w:hAnsi="Arial"/>
          <w:b w:val="false"/>
          <w:bCs w:val="false"/>
          <w:i w:val="false"/>
          <w:iCs w:val="false"/>
          <w:color w:val="444444"/>
          <w:sz w:val="22"/>
          <w:szCs w:val="22"/>
        </w:rPr>
        <w:t xml:space="preserve">Los cuidadores y cuidadoras principales de personas con discapacidad deben recibir atención diferenciada en la Ventanilla, reconociendo su doble condición: como personas con derechos propios y como actores clave en el cuidado de otra persona. Los equipos de la Ventanilla deben:</w:t>
      </w:r>
    </w:p>
    <w:p>
      <w:pPr>
        <w:pStyle w:val="ListParagraph"/>
        <w:numPr>
          <w:ilvl w:val="0"/>
          <w:numId w:val="2"/>
        </w:numPr>
        <w:spacing w:after="30" w:before="30"/>
      </w:pPr>
      <w:r>
        <w:rPr>
          <w:rFonts w:ascii="Arial" w:cs="Arial" w:eastAsia="Arial" w:hAnsi="Arial"/>
          <w:color w:val="444444"/>
          <w:sz w:val="22"/>
          <w:szCs w:val="22"/>
        </w:rPr>
        <w:t xml:space="preserve">Registrar explícitamente el rol de cuidador o cuidadora en la hoja del ciudadano, asociándolo al perfil de la persona con discapacidad que cuida.</w:t>
      </w:r>
    </w:p>
    <w:p>
      <w:pPr>
        <w:pStyle w:val="ListParagraph"/>
        <w:numPr>
          <w:ilvl w:val="0"/>
          <w:numId w:val="2"/>
        </w:numPr>
        <w:spacing w:after="30" w:before="30"/>
      </w:pPr>
      <w:r>
        <w:rPr>
          <w:rFonts w:ascii="Arial" w:cs="Arial" w:eastAsia="Arial" w:hAnsi="Arial"/>
          <w:color w:val="444444"/>
          <w:sz w:val="22"/>
          <w:szCs w:val="22"/>
        </w:rPr>
        <w:t xml:space="preserve">Informar de forma proactiva sobre los programas de apoyo al cuidado disponibles, sin esperar a que la cuidadora pregunte.</w:t>
      </w:r>
    </w:p>
    <w:p>
      <w:pPr>
        <w:pStyle w:val="ListParagraph"/>
        <w:numPr>
          <w:ilvl w:val="0"/>
          <w:numId w:val="2"/>
        </w:numPr>
        <w:spacing w:after="30" w:before="30"/>
      </w:pPr>
      <w:r>
        <w:rPr>
          <w:rFonts w:ascii="Arial" w:cs="Arial" w:eastAsia="Arial" w:hAnsi="Arial"/>
          <w:color w:val="444444"/>
          <w:sz w:val="22"/>
          <w:szCs w:val="22"/>
        </w:rPr>
        <w:t xml:space="preserve">Ofrecer alternativas de atención flexibles: horarios extendidos, atención comunitaria o domiciliaria para cuidadoras que no pueden desplazarse, y acompañamiento temporal para la persona con discapacidad mientras se realiza el trámite.</w:t>
      </w:r>
    </w:p>
    <w:p>
      <w:pPr>
        <w:pStyle w:val="ListParagraph"/>
        <w:numPr>
          <w:ilvl w:val="0"/>
          <w:numId w:val="2"/>
        </w:numPr>
        <w:spacing w:after="30" w:before="30"/>
      </w:pPr>
      <w:r>
        <w:rPr>
          <w:rFonts w:ascii="Arial" w:cs="Arial" w:eastAsia="Arial" w:hAnsi="Arial"/>
          <w:color w:val="444444"/>
          <w:sz w:val="22"/>
          <w:szCs w:val="22"/>
        </w:rPr>
        <w:t xml:space="preserve">Identificar señales de sobrecarga del cuidado y activar, cuando corresponda, la ruta de atención psicosocial o de salud mental.</w:t>
      </w:r>
    </w:p>
    <w:p>
      <w:pPr>
        <w:pStyle w:val="ListParagraph"/>
        <w:numPr>
          <w:ilvl w:val="0"/>
          <w:numId w:val="2"/>
        </w:numPr>
        <w:spacing w:after="30" w:before="30"/>
      </w:pPr>
      <w:r>
        <w:rPr>
          <w:rFonts w:ascii="Arial" w:cs="Arial" w:eastAsia="Arial" w:hAnsi="Arial"/>
          <w:color w:val="444444"/>
          <w:sz w:val="22"/>
          <w:szCs w:val="22"/>
        </w:rPr>
        <w:t xml:space="preserve">No cuestionar ni minimizar la carga de cuidado reportada por la cuidadora. La carga de cuidado no remunerado es un factor de pobreza y vulnerabilidad reconocido.</w:t>
      </w:r>
    </w:p>
    <w:p>
      <w:pPr>
        <w:spacing w:after="0" w:before="80"/>
      </w:pPr>
    </w:p>
    <w:p>
      <w:pPr>
        <w:pStyle w:val="Heading2"/>
        <w:spacing w:after="80" w:before="200"/>
      </w:pPr>
      <w:r>
        <w:rPr>
          <w:rFonts w:ascii="Arial" w:cs="Arial" w:eastAsia="Arial" w:hAnsi="Arial"/>
          <w:b/>
          <w:bCs/>
          <w:color w:val="1CABE2"/>
          <w:sz w:val="26"/>
          <w:szCs w:val="26"/>
        </w:rPr>
        <w:t xml:space="preserve">5.4 Lenguaje claro e incluyente</w:t>
      </w:r>
    </w:p>
    <w:p>
      <w:pPr>
        <w:spacing w:after="60" w:before="60"/>
        <w:jc w:val="both"/>
      </w:pPr>
      <w:r>
        <w:rPr>
          <w:rFonts w:ascii="Arial" w:cs="Arial" w:eastAsia="Arial" w:hAnsi="Arial"/>
          <w:b w:val="false"/>
          <w:bCs w:val="false"/>
          <w:i w:val="false"/>
          <w:iCs w:val="false"/>
          <w:color w:val="444444"/>
          <w:sz w:val="22"/>
          <w:szCs w:val="22"/>
        </w:rPr>
        <w:t xml:space="preserve">El Programa Nacional de Servicio al Ciudadano establece que toda comunicación con la ciudadanía debe estar en lenguaje claro, que garantice la certidumbre sobre las condiciones de tiempo, modo y lugar en que se pueden resolver trámites. Para la atención de personas con discapacidad, familias y cuidadores, esto implica:</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373"/>
        <w:gridCol w:w="6265"/>
      </w:tblGrid>
      <w:tr>
        <w:tc>
          <w:tcPr>
            <w:tcW w:type="dxa" w:w="3373"/>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Principio</w:t>
            </w:r>
          </w:p>
        </w:tc>
        <w:tc>
          <w:tcPr>
            <w:tcW w:type="dxa" w:w="6265"/>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Aplicación</w:t>
            </w:r>
          </w:p>
        </w:tc>
      </w:tr>
      <w:tr>
        <w:tc>
          <w:tcPr>
            <w:tcW w:type="dxa" w:w="337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Identificar el perfil del receptor</w:t>
            </w:r>
          </w:p>
        </w:tc>
        <w:tc>
          <w:tcPr>
            <w:tcW w:type="dxa" w:w="626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Antes de comunicar, conocer el nivel educativo, el tipo de discapacidad, la lengua o dialecto, y el acceso tecnológico de la persona.</w:t>
            </w:r>
          </w:p>
        </w:tc>
      </w:tr>
      <w:tr>
        <w:tc>
          <w:tcPr>
            <w:tcW w:type="dxa" w:w="337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Usar lenguaje simple y concreto</w:t>
            </w:r>
          </w:p>
        </w:tc>
        <w:tc>
          <w:tcPr>
            <w:tcW w:type="dxa" w:w="626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Evitar tecnicismos, siglas y frases complejas. Hablar de manera directa y verificar la comprensión antes de continuar.</w:t>
            </w:r>
          </w:p>
        </w:tc>
      </w:tr>
      <w:tr>
        <w:tc>
          <w:tcPr>
            <w:tcW w:type="dxa" w:w="337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Adaptar el soporte comunicativo</w:t>
            </w:r>
          </w:p>
        </w:tc>
        <w:tc>
          <w:tcPr>
            <w:tcW w:type="dxa" w:w="626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Usar apoyos visuales, formatos de lectura fácil, intérpretes o tecnologías de apoyo según las necesidades de la persona.</w:t>
            </w:r>
          </w:p>
        </w:tc>
      </w:tr>
      <w:tr>
        <w:tc>
          <w:tcPr>
            <w:tcW w:type="dxa" w:w="337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Garantizar el acceso en lenguas nativas</w:t>
            </w:r>
          </w:p>
        </w:tc>
        <w:tc>
          <w:tcPr>
            <w:tcW w:type="dxa" w:w="626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Cuando la persona habla una lengua nativa o dialecto oficial, habilitar mecanismos de interpretación o enlace con el Ministerio de Cultura.</w:t>
            </w:r>
          </w:p>
        </w:tc>
      </w:tr>
      <w:tr>
        <w:tc>
          <w:tcPr>
            <w:tcW w:type="dxa" w:w="337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Dar respuestas completas y verificables</w:t>
            </w:r>
          </w:p>
        </w:tc>
        <w:tc>
          <w:tcPr>
            <w:tcW w:type="dxa" w:w="626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Evitar respuestas como 'no sé', 'vuelva mañana' o 'eso no me toca'. Siempre informar el siguiente paso y el tiempo de respuesta.</w:t>
            </w:r>
          </w:p>
        </w:tc>
      </w:tr>
    </w:tbl>
    <w:p>
      <w:pPr>
        <w:spacing w:after="0" w:before="80"/>
      </w:pPr>
    </w:p>
    <w:p>
      <w:r>
        <w:br w:type="page"/>
      </w:r>
    </w:p>
    <w:p>
      <w:pPr>
        <w:pStyle w:val="Heading1"/>
        <w:spacing w:after="120" w:before="240"/>
      </w:pPr>
      <w:r>
        <w:rPr>
          <w:rFonts w:ascii="Arial" w:cs="Arial" w:eastAsia="Arial" w:hAnsi="Arial"/>
          <w:b/>
          <w:bCs/>
          <w:color w:val="00629B"/>
          <w:sz w:val="32"/>
          <w:szCs w:val="32"/>
        </w:rPr>
        <w:t xml:space="preserve">6. Lista de verificación para equipos territoriales</w:t>
      </w:r>
    </w:p>
    <w:p>
      <w:pPr>
        <w:pBdr>
          <w:bottom w:val="single" w:color="1CABE2" w:sz="12" w:space="1"/>
        </w:pBdr>
        <w:spacing w:after="40" w:before="0"/>
      </w:pPr>
    </w:p>
    <w:p>
      <w:pPr>
        <w:spacing w:after="60" w:before="60"/>
        <w:jc w:val="both"/>
      </w:pPr>
      <w:r>
        <w:rPr>
          <w:rFonts w:ascii="Arial" w:cs="Arial" w:eastAsia="Arial" w:hAnsi="Arial"/>
          <w:b w:val="false"/>
          <w:bCs w:val="false"/>
          <w:i w:val="false"/>
          <w:iCs w:val="false"/>
          <w:color w:val="444444"/>
          <w:sz w:val="22"/>
          <w:szCs w:val="22"/>
        </w:rPr>
        <w:t xml:space="preserve">La siguiente lista de verificación permite a los equipos técnicos municipales y a los asesores territoriales del Modelo evaluar el nivel de articulación alcanzado con las Ventanillas Únicas Sociales y las Oficinas de Servicio al Ciudadano.</w:t>
      </w:r>
    </w:p>
    <w:p>
      <w:pPr>
        <w:pStyle w:val="Heading2"/>
        <w:spacing w:after="80" w:before="200"/>
      </w:pPr>
      <w:r>
        <w:rPr>
          <w:rFonts w:ascii="Arial" w:cs="Arial" w:eastAsia="Arial" w:hAnsi="Arial"/>
          <w:b/>
          <w:bCs/>
          <w:color w:val="1CABE2"/>
          <w:sz w:val="26"/>
          <w:szCs w:val="26"/>
        </w:rPr>
        <w:t xml:space="preserve">6.1 Articulación institucional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6553"/>
        <w:gridCol w:w="3085"/>
      </w:tblGrid>
      <w:tr>
        <w:tc>
          <w:tcPr>
            <w:tcW w:type="dxa" w:w="6553"/>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Criterio</w:t>
            </w:r>
          </w:p>
        </w:tc>
        <w:tc>
          <w:tcPr>
            <w:tcW w:type="dxa" w:w="3085"/>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Estado</w:t>
            </w:r>
          </w:p>
        </w:tc>
      </w:tr>
      <w:tr>
        <w:tc>
          <w:tcPr>
            <w:tcW w:type="dxa" w:w="655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1. El municipio cuenta con carta de intención firmada con el Departamento Nacional de Planeación para la Ventanilla Única</w:t>
            </w:r>
          </w:p>
        </w:tc>
        <w:tc>
          <w:tcPr>
            <w:tcW w:type="dxa" w:w="308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2. Los servicios del sistema local de cuidados y apoyos están registrados en la plataforma de la Ventanilla Única</w:t>
            </w:r>
          </w:p>
        </w:tc>
        <w:tc>
          <w:tcPr>
            <w:tcW w:type="dxa" w:w="308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3. Existe un acuerdo formal entre la dependencia responsable del Modelo y el operador de la Ventanilla para la derivación de casos</w:t>
            </w:r>
          </w:p>
        </w:tc>
        <w:tc>
          <w:tcPr>
            <w:tcW w:type="dxa" w:w="308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4. Los equipos de la Ventanilla han recibido capacitación sobre el Modelo de cuidados y apoyos</w:t>
            </w:r>
          </w:p>
        </w:tc>
        <w:tc>
          <w:tcPr>
            <w:tcW w:type="dxa" w:w="308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5. Se realizan reuniones periódicas de coordinación entre el Modelo y la Ventanilla</w:t>
            </w:r>
          </w:p>
        </w:tc>
        <w:tc>
          <w:tcPr>
            <w:tcW w:type="dxa" w:w="308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bl>
    <w:p>
      <w:pPr>
        <w:spacing w:after="0" w:before="80"/>
      </w:pPr>
    </w:p>
    <w:p>
      <w:pPr>
        <w:pStyle w:val="Heading2"/>
        <w:spacing w:after="80" w:before="200"/>
      </w:pPr>
      <w:r>
        <w:rPr>
          <w:rFonts w:ascii="Arial" w:cs="Arial" w:eastAsia="Arial" w:hAnsi="Arial"/>
          <w:b/>
          <w:bCs/>
          <w:color w:val="1CABE2"/>
          <w:sz w:val="26"/>
          <w:szCs w:val="26"/>
        </w:rPr>
        <w:t xml:space="preserve">6.2 Inclusión y género</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6553"/>
        <w:gridCol w:w="3085"/>
      </w:tblGrid>
      <w:tr>
        <w:tc>
          <w:tcPr>
            <w:tcW w:type="dxa" w:w="6553"/>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Criterio</w:t>
            </w:r>
          </w:p>
        </w:tc>
        <w:tc>
          <w:tcPr>
            <w:tcW w:type="dxa" w:w="3085"/>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Estado</w:t>
            </w:r>
          </w:p>
        </w:tc>
      </w:tr>
      <w:tr>
        <w:tc>
          <w:tcPr>
            <w:tcW w:type="dxa" w:w="655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6. Los criterios de focalización de la oferta del Modelo incluyen variables de discapacidad, rol de cuidado y género</w:t>
            </w:r>
          </w:p>
        </w:tc>
        <w:tc>
          <w:tcPr>
            <w:tcW w:type="dxa" w:w="308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7. La Ventanilla registra el rol de cuidador o cuidadora principal en la hoja del ciudadano</w:t>
            </w:r>
          </w:p>
        </w:tc>
        <w:tc>
          <w:tcPr>
            <w:tcW w:type="dxa" w:w="308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8. El personal de la Ventanilla conoce los protocolos de atención diferenciada para personas con discapacidad</w:t>
            </w:r>
          </w:p>
        </w:tc>
        <w:tc>
          <w:tcPr>
            <w:tcW w:type="dxa" w:w="308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9. La Ventanilla cuenta con acceso al Centro de Relevo para personas con discapacidad auditiva</w:t>
            </w:r>
          </w:p>
        </w:tc>
        <w:tc>
          <w:tcPr>
            <w:tcW w:type="dxa" w:w="308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10. Los formatos y comunicaciones de la Ventanilla están disponibles en lectura fácil y formatos alternativos</w:t>
            </w:r>
          </w:p>
        </w:tc>
        <w:tc>
          <w:tcPr>
            <w:tcW w:type="dxa" w:w="308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11. Existen mecanismos de búsqueda activa de personas con discapacidad no registradas</w:t>
            </w:r>
          </w:p>
        </w:tc>
        <w:tc>
          <w:tcPr>
            <w:tcW w:type="dxa" w:w="308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bl>
    <w:p>
      <w:pPr>
        <w:spacing w:after="0" w:before="80"/>
      </w:pPr>
    </w:p>
    <w:p>
      <w:pPr>
        <w:pStyle w:val="Heading2"/>
        <w:spacing w:after="80" w:before="200"/>
      </w:pPr>
      <w:r>
        <w:rPr>
          <w:rFonts w:ascii="Arial" w:cs="Arial" w:eastAsia="Arial" w:hAnsi="Arial"/>
          <w:b/>
          <w:bCs/>
          <w:color w:val="1CABE2"/>
          <w:sz w:val="26"/>
          <w:szCs w:val="26"/>
        </w:rPr>
        <w:t xml:space="preserve">6.3 Interoperabilidad con el Registro Social de Hogares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6553"/>
        <w:gridCol w:w="3085"/>
      </w:tblGrid>
      <w:tr>
        <w:tc>
          <w:tcPr>
            <w:tcW w:type="dxa" w:w="6553"/>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Criterio</w:t>
            </w:r>
          </w:p>
        </w:tc>
        <w:tc>
          <w:tcPr>
            <w:tcW w:type="dxa" w:w="3085"/>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Estado</w:t>
            </w:r>
          </w:p>
        </w:tc>
      </w:tr>
      <w:tr>
        <w:tc>
          <w:tcPr>
            <w:tcW w:type="dxa" w:w="655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12. La caracterización territorial del Modelo (Capacidad 1) usa información del Registro Social de Hogares</w:t>
            </w:r>
          </w:p>
        </w:tc>
        <w:tc>
          <w:tcPr>
            <w:tcW w:type="dxa" w:w="308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13. Los procesos de registro del Modelo alimentan el Registro Social de Hogares a través de la Ventanilla</w:t>
            </w:r>
          </w:p>
        </w:tc>
        <w:tc>
          <w:tcPr>
            <w:tcW w:type="dxa" w:w="308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14. Existe un mecanismo de retroalimentación de brechas de oferta desde el Modelo hacia la Ventanilla</w:t>
            </w:r>
          </w:p>
        </w:tc>
        <w:tc>
          <w:tcPr>
            <w:tcW w:type="dxa" w:w="3085"/>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r>
        <w:tc>
          <w:tcPr>
            <w:tcW w:type="dxa" w:w="6553"/>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15. Los datos recogidos por el Modelo están desagregados por sexo, tipo de discapacidad y rol de cuidado</w:t>
            </w:r>
          </w:p>
        </w:tc>
        <w:tc>
          <w:tcPr>
            <w:tcW w:type="dxa" w:w="3085"/>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Sí / No / En proceso</w:t>
            </w:r>
          </w:p>
        </w:tc>
      </w:tr>
    </w:tbl>
    <w:p>
      <w:pPr>
        <w:spacing w:after="0" w:before="80"/>
      </w:pPr>
    </w:p>
    <w:p>
      <w:r>
        <w:br w:type="page"/>
      </w:r>
    </w:p>
    <w:p>
      <w:pPr>
        <w:pStyle w:val="Heading1"/>
        <w:spacing w:after="120" w:before="240"/>
      </w:pPr>
      <w:r>
        <w:rPr>
          <w:rFonts w:ascii="Arial" w:cs="Arial" w:eastAsia="Arial" w:hAnsi="Arial"/>
          <w:b/>
          <w:bCs/>
          <w:color w:val="00629B"/>
          <w:sz w:val="32"/>
          <w:szCs w:val="32"/>
        </w:rPr>
        <w:t xml:space="preserve">7. Marco normativo y referencias</w:t>
      </w:r>
    </w:p>
    <w:p>
      <w:pPr>
        <w:pBdr>
          <w:bottom w:val="single" w:color="1CABE2" w:sz="12" w:space="1"/>
        </w:pBdr>
        <w:spacing w:after="40" w:before="0"/>
      </w:pPr>
    </w:p>
    <w:p>
      <w:pPr>
        <w:pStyle w:val="Heading2"/>
        <w:spacing w:after="80" w:before="200"/>
      </w:pPr>
      <w:r>
        <w:rPr>
          <w:rFonts w:ascii="Arial" w:cs="Arial" w:eastAsia="Arial" w:hAnsi="Arial"/>
          <w:b/>
          <w:bCs/>
          <w:color w:val="1CABE2"/>
          <w:sz w:val="26"/>
          <w:szCs w:val="26"/>
        </w:rPr>
        <w:t xml:space="preserve">7.1 Marco normativo nacional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c>
          <w:tcPr>
            <w:tcW w:type="dxa" w:w="3662"/>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Norma</w:t>
            </w:r>
          </w:p>
        </w:tc>
        <w:tc>
          <w:tcPr>
            <w:tcW w:type="dxa" w:w="5976"/>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Contenido relevante</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Constitución Política de Colombia, artículo 13</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Obligación del Estado de promover condiciones para la igualdad real y proteger a grupos discriminados o marginados.</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Constitución Política de Colombia, artículo 2</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Servicio a la comunidad como fin esencial del Estado.</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Ley 1346 de 2009</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Aprobación de la Convención sobre los Derechos de las Personas con Discapacidad de la Organización de las Naciones Unidas.</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Decreto Legislativo 812 de 2020</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Crea, administra e implementa el Registro Social de Hogares a cargo del Departamento Nacional de Planeación.</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Ley 2294 de 2023 (Plan Nacional de Desarrollo 2022-2026)</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Artículo 70: crea el Registro Universal de Ingresos; establece el Registro Social de Hogares como fuente principal de información para la focalización social.</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Decreto 890 de 2022</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Reglamenta la operación del Registro Social de Hogares.</w:t>
            </w:r>
          </w:p>
        </w:tc>
      </w:tr>
      <w:tr>
        <w:tc>
          <w:tcPr>
            <w:tcW w:type="dxa" w:w="3662"/>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Decreto 0875 de 2024</w:t>
            </w:r>
          </w:p>
        </w:tc>
        <w:tc>
          <w:tcPr>
            <w:tcW w:type="dxa" w:w="5976"/>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Reglamenta el artículo 70 de la Ley 2294; establece el Registro Universal de Ingresos como único mecanismo de focalización del estado.</w:t>
            </w:r>
          </w:p>
        </w:tc>
      </w:tr>
      <w:tr>
        <w:tc>
          <w:tcPr>
            <w:tcW w:type="dxa" w:w="3662"/>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Ley 1437 de 2011 (Código de Procedimiento Administrativo)</w:t>
            </w:r>
          </w:p>
        </w:tc>
        <w:tc>
          <w:tcPr>
            <w:tcW w:type="dxa" w:w="5976"/>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Regula los derechos y deberes de los ciudadanos en sus actuaciones ante las autoridades públicas.</w:t>
            </w:r>
          </w:p>
        </w:tc>
      </w:tr>
    </w:tbl>
    <w:p>
      <w:pPr>
        <w:spacing w:after="0" w:before="80"/>
      </w:pPr>
    </w:p>
    <w:p>
      <w:pPr>
        <w:pStyle w:val="Heading2"/>
        <w:spacing w:after="80" w:before="200"/>
      </w:pPr>
      <w:r>
        <w:rPr>
          <w:rFonts w:ascii="Arial" w:cs="Arial" w:eastAsia="Arial" w:hAnsi="Arial"/>
          <w:b/>
          <w:bCs/>
          <w:color w:val="1CABE2"/>
          <w:sz w:val="26"/>
          <w:szCs w:val="26"/>
        </w:rPr>
        <w:t xml:space="preserve">7.2 Documentos técnicos de referencia</w:t>
      </w:r>
    </w:p>
    <w:p>
      <w:pPr>
        <w:pStyle w:val="ListParagraph"/>
        <w:numPr>
          <w:ilvl w:val="0"/>
          <w:numId w:val="2"/>
        </w:numPr>
        <w:spacing w:after="30" w:before="30"/>
      </w:pPr>
      <w:r>
        <w:rPr>
          <w:rFonts w:ascii="Arial" w:cs="Arial" w:eastAsia="Arial" w:hAnsi="Arial"/>
          <w:color w:val="444444"/>
          <w:sz w:val="22"/>
          <w:szCs w:val="22"/>
        </w:rPr>
        <w:t xml:space="preserve">Departamento Nacional de Planeación. Documento del Diseño de la Ventanilla Única del Registro Social de Hogares. Subdirección de Pobreza y Focalización, 2024.</w:t>
      </w:r>
    </w:p>
    <w:p>
      <w:pPr>
        <w:pStyle w:val="ListParagraph"/>
        <w:numPr>
          <w:ilvl w:val="0"/>
          <w:numId w:val="2"/>
        </w:numPr>
        <w:spacing w:after="30" w:before="30"/>
      </w:pPr>
      <w:r>
        <w:rPr>
          <w:rFonts w:ascii="Arial" w:cs="Arial" w:eastAsia="Arial" w:hAnsi="Arial"/>
          <w:color w:val="444444"/>
          <w:sz w:val="22"/>
          <w:szCs w:val="22"/>
        </w:rPr>
        <w:t xml:space="preserve">Departamento Nacional de Planeación. ABC de Servicio al Ciudadano: Atributos Básicos para la Prestación del Servicio al Ciudadano en las Entidades Públicas. Programa Nacional de Servicio al Ciudadano.</w:t>
      </w:r>
    </w:p>
    <w:p>
      <w:pPr>
        <w:pStyle w:val="ListParagraph"/>
        <w:numPr>
          <w:ilvl w:val="0"/>
          <w:numId w:val="2"/>
        </w:numPr>
        <w:spacing w:after="30" w:before="30"/>
      </w:pPr>
      <w:r>
        <w:rPr>
          <w:rFonts w:ascii="Arial" w:cs="Arial" w:eastAsia="Arial" w:hAnsi="Arial"/>
          <w:color w:val="444444"/>
          <w:sz w:val="22"/>
          <w:szCs w:val="22"/>
        </w:rPr>
        <w:t xml:space="preserve">Departamento Administrativo de la Función Pública. Protocolos de Servicio al Ciudadano. Versión 4, agosto de 2017.</w:t>
      </w:r>
    </w:p>
    <w:p>
      <w:pPr>
        <w:pStyle w:val="ListParagraph"/>
        <w:numPr>
          <w:ilvl w:val="0"/>
          <w:numId w:val="2"/>
        </w:numPr>
        <w:spacing w:after="30" w:before="30"/>
      </w:pPr>
      <w:r>
        <w:rPr>
          <w:rFonts w:ascii="Arial" w:cs="Arial" w:eastAsia="Arial" w:hAnsi="Arial"/>
          <w:color w:val="444444"/>
          <w:sz w:val="22"/>
          <w:szCs w:val="22"/>
        </w:rPr>
        <w:t xml:space="preserve">UNICEF Colombia. Modelo de Sistema Local de Cuidados y Apoyos Inclusivos: marco operativo para equipos municipales. 2024. Disponible en: sistemacuidadoyapoyos.lovable.app</w:t>
      </w:r>
    </w:p>
    <w:p>
      <w:pPr>
        <w:pStyle w:val="ListParagraph"/>
        <w:numPr>
          <w:ilvl w:val="0"/>
          <w:numId w:val="2"/>
        </w:numPr>
        <w:spacing w:after="30" w:before="30"/>
      </w:pPr>
      <w:r>
        <w:rPr>
          <w:rFonts w:ascii="Arial" w:cs="Arial" w:eastAsia="Arial" w:hAnsi="Arial"/>
          <w:color w:val="444444"/>
          <w:sz w:val="22"/>
          <w:szCs w:val="22"/>
        </w:rPr>
        <w:t xml:space="preserve">Bergthaller, C. y Ebken, J. (2017). Ventanillas Únicas de Servicios Sociales: orientaciones para su diseño e implementación. Citado en: Departamento Nacional de Planeación, 2024.</w:t>
      </w:r>
    </w:p>
    <w:p>
      <w:pPr>
        <w:pStyle w:val="ListParagraph"/>
        <w:numPr>
          <w:ilvl w:val="0"/>
          <w:numId w:val="2"/>
        </w:numPr>
        <w:spacing w:after="30" w:before="30"/>
      </w:pPr>
      <w:r>
        <w:rPr>
          <w:rFonts w:ascii="Arial" w:cs="Arial" w:eastAsia="Arial" w:hAnsi="Arial"/>
          <w:color w:val="444444"/>
          <w:sz w:val="22"/>
          <w:szCs w:val="22"/>
        </w:rPr>
        <w:t xml:space="preserve">CEPAL (2022). Sistemas de protección social en América Latina y el Caribe: registros de destinatarios, universalidad e integración de servicios.</w:t>
      </w:r>
    </w:p>
    <w:p>
      <w:pPr>
        <w:pStyle w:val="ListParagraph"/>
        <w:numPr>
          <w:ilvl w:val="0"/>
          <w:numId w:val="2"/>
        </w:numPr>
        <w:spacing w:after="30" w:before="30"/>
      </w:pPr>
      <w:r>
        <w:rPr>
          <w:rFonts w:ascii="Arial" w:cs="Arial" w:eastAsia="Arial" w:hAnsi="Arial"/>
          <w:color w:val="444444"/>
          <w:sz w:val="22"/>
          <w:szCs w:val="22"/>
        </w:rPr>
        <w:t xml:space="preserve">OCDE (2023). Integración de servicios sociales: motivaciones, modelos y resultados.</w:t>
      </w:r>
    </w:p>
    <w:p>
      <w:pPr>
        <w:spacing w:after="0" w:before="80"/>
      </w:pPr>
    </w:p>
    <w:p>
      <w:pPr>
        <w:pStyle w:val="Heading2"/>
        <w:spacing w:after="80" w:before="200"/>
      </w:pPr>
      <w:r>
        <w:rPr>
          <w:rFonts w:ascii="Arial" w:cs="Arial" w:eastAsia="Arial" w:hAnsi="Arial"/>
          <w:b/>
          <w:bCs/>
          <w:color w:val="1CABE2"/>
          <w:sz w:val="26"/>
          <w:szCs w:val="26"/>
        </w:rPr>
        <w:t xml:space="preserve">7.3 Recursos digitales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011"/>
        <w:gridCol w:w="4627"/>
      </w:tblGrid>
      <w:tr>
        <w:tc>
          <w:tcPr>
            <w:tcW w:type="dxa" w:w="5011"/>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Recurso</w:t>
            </w:r>
          </w:p>
        </w:tc>
        <w:tc>
          <w:tcPr>
            <w:tcW w:type="dxa" w:w="4627"/>
            <w:tcBorders>
              <w:top w:val="single" w:color="00629B" w:sz="6"/>
              <w:left w:val="single" w:color="00629B" w:sz="6"/>
              <w:bottom w:val="single" w:color="00629B" w:sz="6"/>
              <w:right w:val="single" w:color="00629B" w:sz="6"/>
            </w:tcBorders>
            <w:shd w:fill="00629B" w:val="clear"/>
            <w:tcMar>
              <w:top w:type="dxa" w:w="80"/>
              <w:left w:type="dxa" w:w="120"/>
              <w:bottom w:type="dxa" w:w="80"/>
              <w:right w:type="dxa" w:w="120"/>
            </w:tcMar>
          </w:tcPr>
          <w:p>
            <w:pPr>
              <w:spacing w:after="0" w:before="0"/>
            </w:pPr>
            <w:r>
              <w:rPr>
                <w:rFonts w:ascii="Arial" w:cs="Arial" w:eastAsia="Arial" w:hAnsi="Arial"/>
                <w:b/>
                <w:bCs/>
                <w:color w:val="FFFFFF"/>
                <w:sz w:val="21"/>
                <w:szCs w:val="21"/>
              </w:rPr>
              <w:t xml:space="preserve">Acceso</w:t>
            </w:r>
          </w:p>
        </w:tc>
      </w:tr>
      <w:tr>
        <w:tc>
          <w:tcPr>
            <w:tcW w:type="dxa" w:w="5011"/>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Plataforma del Modelo de Sistema Local de Cuidados y Apoyos Inclusivos</w:t>
            </w:r>
          </w:p>
        </w:tc>
        <w:tc>
          <w:tcPr>
            <w:tcW w:type="dxa" w:w="4627"/>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sistemacuidadoyapoyos.lovable.app</w:t>
            </w:r>
          </w:p>
        </w:tc>
      </w:tr>
      <w:tr>
        <w:tc>
          <w:tcPr>
            <w:tcW w:type="dxa" w:w="5011"/>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Ventanilla Única del Registro Social de Hogares — Departamento Nacional de Planeación</w:t>
            </w:r>
          </w:p>
        </w:tc>
        <w:tc>
          <w:tcPr>
            <w:tcW w:type="dxa" w:w="4627"/>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www.dnp.gov.co</w:t>
            </w:r>
          </w:p>
        </w:tc>
      </w:tr>
      <w:tr>
        <w:tc>
          <w:tcPr>
            <w:tcW w:type="dxa" w:w="5011"/>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Programa Nacional de Servicio al Ciudadano — Guía de Servicio y Atención Incluyente</w:t>
            </w:r>
          </w:p>
        </w:tc>
        <w:tc>
          <w:tcPr>
            <w:tcW w:type="dxa" w:w="4627"/>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colaboracion.dnp.gov.co — Guía Servicio y Atención Incluyente (PDF)</w:t>
            </w:r>
          </w:p>
        </w:tc>
      </w:tr>
      <w:tr>
        <w:tc>
          <w:tcPr>
            <w:tcW w:type="dxa" w:w="5011"/>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Espacio Virtual de Asesoría — Función Pública</w:t>
            </w:r>
          </w:p>
        </w:tc>
        <w:tc>
          <w:tcPr>
            <w:tcW w:type="dxa" w:w="4627"/>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www.funcionpublica.gov.co/eva</w:t>
            </w:r>
          </w:p>
        </w:tc>
      </w:tr>
      <w:tr>
        <w:tc>
          <w:tcPr>
            <w:tcW w:type="dxa" w:w="5011"/>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b w:val="false"/>
                <w:bCs w:val="false"/>
                <w:color w:val="444444"/>
                <w:sz w:val="21"/>
                <w:szCs w:val="21"/>
              </w:rPr>
              <w:t xml:space="preserve">Centro de Relevo (interpretación en Lengua de Señas Colombiana)</w:t>
            </w:r>
          </w:p>
        </w:tc>
        <w:tc>
          <w:tcPr>
            <w:tcW w:type="dxa" w:w="4627"/>
            <w:tcBorders>
              <w:top w:val="single" w:color="CCCCCC" w:sz="4"/>
              <w:left w:val="single" w:color="CCCCCC" w:sz="4"/>
              <w:bottom w:val="single" w:color="CCCCCC" w:sz="4"/>
              <w:right w:val="single" w:color="CCCCCC" w:sz="4"/>
            </w:tcBorders>
            <w:shd w:fill="F5F5F5" w:val="clear"/>
            <w:tcMar>
              <w:top w:type="dxa" w:w="70"/>
              <w:left w:type="dxa" w:w="120"/>
              <w:bottom w:type="dxa" w:w="70"/>
              <w:right w:type="dxa" w:w="120"/>
            </w:tcMar>
          </w:tcPr>
          <w:p>
            <w:pPr>
              <w:spacing w:after="0" w:before="0"/>
            </w:pPr>
            <w:r>
              <w:rPr>
                <w:rFonts w:ascii="Arial" w:cs="Arial" w:eastAsia="Arial" w:hAnsi="Arial"/>
                <w:color w:val="444444"/>
                <w:sz w:val="21"/>
                <w:szCs w:val="21"/>
              </w:rPr>
              <w:t xml:space="preserve">Línea disponible en la Función Pública: extensión *8 del Grupo de Servicio al Ciudadano</w:t>
            </w:r>
          </w:p>
        </w:tc>
      </w:tr>
    </w:tbl>
    <w:p>
      <w:pPr>
        <w:spacing w:after="0" w:before="80"/>
      </w:pP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CABE2" w:sz="6" w:space="1"/>
      </w:pBdr>
      <w:tabs>
        <w:tab w:val="right" w:pos="9638"/>
      </w:tabs>
      <w:spacing w:after="0" w:before="60"/>
    </w:pPr>
    <w:r>
      <w:rPr>
        <w:rFonts w:ascii="Arial" w:cs="Arial" w:eastAsia="Arial" w:hAnsi="Arial"/>
        <w:color w:val="888888"/>
        <w:sz w:val="18"/>
        <w:szCs w:val="18"/>
      </w:rPr>
      <w:t xml:space="preserve">Colombia, 2025</w:t>
    </w:r>
    <w:r>
      <w:rPr>
        <w:rFonts w:ascii="Arial" w:cs="Arial" w:eastAsia="Arial" w:hAnsi="Arial"/>
      </w:rPr>
      <w:t xml:space="preserve">	</w:t>
    </w:r>
    <w:r>
      <w:rPr>
        <w:rFonts w:ascii="Arial" w:cs="Arial" w:eastAsia="Arial" w:hAnsi="Arial"/>
        <w:color w:val="00629B"/>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CABE2" w:sz="6" w:space="1"/>
      </w:pBdr>
      <w:tabs>
        <w:tab w:val="right" w:pos="9638"/>
      </w:tabs>
      <w:spacing w:after="80" w:before="0"/>
    </w:pPr>
    <w:r>
      <w:rPr>
        <w:rFonts w:ascii="Arial" w:cs="Arial" w:eastAsia="Arial" w:hAnsi="Arial"/>
        <w:color w:val="888888"/>
        <w:sz w:val="18"/>
        <w:szCs w:val="18"/>
      </w:rPr>
      <w:t xml:space="preserve">UNICEF Colombia   |   Modelo de Sistema Local de Cuidados y Apoyos Inclusivos</w:t>
    </w:r>
    <w:r>
      <w:rPr>
        <w:rFonts w:ascii="Arial" w:cs="Arial" w:eastAsia="Arial" w:hAnsi="Arial"/>
      </w:rPr>
      <w:t xml:space="preserve">	</w:t>
    </w:r>
    <w:r>
      <w:rPr>
        <w:rFonts w:ascii="Arial" w:cs="Arial" w:eastAsia="Arial" w:hAnsi="Arial"/>
        <w:i/>
        <w:iCs/>
        <w:color w:val="1CABE2"/>
        <w:sz w:val="18"/>
        <w:szCs w:val="18"/>
      </w:rPr>
      <w:t xml:space="preserve">Guía para la articulación con Ventanillas Únicas Sociales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lvl w:ilvl="1" w15:tentative="1">
      <w:start w:val="1"/>
      <w:numFmt w:val="bullet"/>
      <w:lvlText w:val="–"/>
      <w:lvlJc w:val="left"/>
      <w:pPr>
        <w:ind w:left="80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20"/>
      <w:outlineLvl w:val="0"/>
    </w:pPr>
    <w:rPr>
      <w:rFonts w:ascii="Arial" w:cs="Arial" w:eastAsia="Arial" w:hAnsi="Arial"/>
      <w:b/>
      <w:bCs/>
      <w:color w:val="00629B"/>
      <w:sz w:val="32"/>
      <w:szCs w:val="32"/>
    </w:rPr>
  </w:style>
  <w:style w:type="paragraph" w:styleId="Heading2">
    <w:name w:val="Heading 2"/>
    <w:basedOn w:val="Normal"/>
    <w:next w:val="Normal"/>
    <w:qFormat/>
    <w:pPr>
      <w:spacing w:after="80" w:before="240"/>
      <w:outlineLvl w:val="1"/>
    </w:pPr>
    <w:rPr>
      <w:rFonts w:ascii="Arial" w:cs="Arial" w:eastAsia="Arial" w:hAnsi="Arial"/>
      <w:b/>
      <w:bCs/>
      <w:color w:val="1CABE2"/>
      <w:sz w:val="26"/>
      <w:szCs w:val="26"/>
    </w:rPr>
  </w:style>
  <w:style w:type="paragraph" w:styleId="Heading3">
    <w:name w:val="Heading 3"/>
    <w:basedOn w:val="Normal"/>
    <w:next w:val="Normal"/>
    <w:qFormat/>
    <w:pPr>
      <w:spacing w:after="60" w:before="180"/>
      <w:outlineLvl w:val="2"/>
    </w:pPr>
    <w:rPr>
      <w:rFonts w:ascii="Arial" w:cs="Arial" w:eastAsia="Arial" w:hAnsi="Arial"/>
      <w:b/>
      <w:bCs/>
      <w:color w:val="374EA2"/>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2026-05-24T23:40:46.465Z</dcterms:created>
  <dcterms:modified xsi:type="dcterms:W3CDTF">2026-05-24T23:40:46.481Z</dcterms:modified>
</cp:coreProperties>
</file>

<file path=docProps/custom.xml><?xml version="1.0" encoding="utf-8"?>
<Properties xmlns="http://schemas.openxmlformats.org/officeDocument/2006/custom-properties" xmlns:vt="http://schemas.openxmlformats.org/officeDocument/2006/docPropsVTypes"/>
</file>