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00629B" w:val="clear"/>
            <w:tcMar>
              <w:top w:type="dxa" w:w="200"/>
              <w:left w:type="dxa" w:w="280"/>
              <w:bottom w:type="dxa" w:w="80"/>
              <w:right w:type="dxa" w:w="280"/>
            </w:tcMar>
          </w:tcPr>
          <w:p>
            <w:pPr>
              <w:spacing w:after="60" w:before="0"/>
              <w:jc w:val="center"/>
            </w:pPr>
            <w:r>
              <w:rPr>
                <w:rFonts w:ascii="Arial" w:cs="Arial" w:eastAsia="Arial" w:hAnsi="Arial"/>
                <w:b/>
                <w:bCs/>
                <w:color w:val="FFFFFF"/>
                <w:sz w:val="22"/>
                <w:szCs w:val="22"/>
              </w:rPr>
              <w:t xml:space="preserve">UNICEF Colombia  ·  Modelo de Sistema Local de Cuidados y Apoyos Inclusivos</w:t>
            </w:r>
          </w:p>
          <w:p>
            <w:pPr>
              <w:spacing w:after="0" w:before="0"/>
              <w:jc w:val="center"/>
            </w:pPr>
            <w:r>
              <w:rPr>
                <w:rFonts w:ascii="Arial" w:cs="Arial" w:eastAsia="Arial" w:hAnsi="Arial"/>
                <w:color w:val="5CB8DC"/>
                <w:sz w:val="20"/>
                <w:szCs w:val="20"/>
              </w:rPr>
              <w:t xml:space="preserve">─────────────────────────────────────────</w:t>
            </w:r>
          </w:p>
        </w:tc>
      </w:tr>
    </w:tbl>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1CABE2" w:val="clear"/>
            <w:tcMar>
              <w:top w:type="dxa" w:w="300"/>
              <w:left w:type="dxa" w:w="280"/>
              <w:bottom w:type="dxa" w:w="300"/>
              <w:right w:type="dxa" w:w="280"/>
            </w:tcMar>
          </w:tcPr>
          <w:p>
            <w:pPr>
              <w:spacing w:after="80" w:before="0"/>
              <w:jc w:val="center"/>
            </w:pPr>
            <w:r>
              <w:rPr>
                <w:rFonts w:ascii="Arial" w:cs="Arial" w:eastAsia="Arial" w:hAnsi="Arial"/>
                <w:b/>
                <w:bCs/>
                <w:color w:val="FFFFFF"/>
                <w:sz w:val="28"/>
                <w:szCs w:val="28"/>
              </w:rPr>
              <w:t xml:space="preserve">GUÍA OPERATIVA</w:t>
            </w:r>
          </w:p>
          <w:p>
            <w:pPr>
              <w:spacing w:after="80" w:before="0"/>
              <w:jc w:val="center"/>
            </w:pPr>
            <w:r>
              <w:rPr>
                <w:rFonts w:ascii="Arial" w:cs="Arial" w:eastAsia="Arial" w:hAnsi="Arial"/>
                <w:b/>
                <w:bCs/>
                <w:color w:val="FFFFFF"/>
                <w:sz w:val="40"/>
                <w:szCs w:val="40"/>
              </w:rPr>
              <w:t xml:space="preserve">Mesa de Soluciones Innovadoras</w:t>
            </w:r>
          </w:p>
          <w:p>
            <w:pPr>
              <w:spacing w:after="80" w:before="0"/>
              <w:jc w:val="center"/>
            </w:pPr>
            <w:r>
              <w:rPr>
                <w:rFonts w:ascii="Arial" w:cs="Arial" w:eastAsia="Arial" w:hAnsi="Arial"/>
                <w:b/>
                <w:bCs/>
                <w:color w:val="FFC20E"/>
                <w:sz w:val="40"/>
                <w:szCs w:val="40"/>
              </w:rPr>
              <w:t xml:space="preserve">de Apoyo y Cuidado</w:t>
            </w:r>
          </w:p>
          <w:p>
            <w:pPr>
              <w:spacing w:after="0" w:before="0"/>
              <w:jc w:val="center"/>
            </w:pPr>
            <w:r>
              <w:rPr>
                <w:rFonts w:ascii="Arial" w:cs="Arial" w:eastAsia="Arial" w:hAnsi="Arial"/>
                <w:i/>
                <w:iCs/>
                <w:color w:val="BDE8F7"/>
                <w:sz w:val="21"/>
                <w:szCs w:val="21"/>
              </w:rPr>
              <w:t xml:space="preserve">Instancia intersectorial de decisión, innovación y mejora continua para garantizar
acceso a servicios inclusivos, apoyos y cuidado para personas con discapacidad,
niñez, adolescencia, familias y cuidadores</w:t>
            </w:r>
          </w:p>
        </w:tc>
      </w:tr>
    </w:tbl>
    <w:p>
      <w:pPr>
        <w:spacing w:after="0" w:before="8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c>
          <w:tcPr>
            <w:tcW w:type="dxa" w:w="4819"/>
            <w:tcBorders>
              <w:top w:val="none" w:color="FFFFFF" w:sz="0"/>
              <w:left w:val="none" w:color="FFFFFF" w:sz="0"/>
              <w:bottom w:val="none" w:color="FFFFFF" w:sz="0"/>
              <w:right w:val="none" w:color="FFFFFF" w:sz="0"/>
            </w:tcBorders>
            <w:shd w:fill="F5F5F5" w:val="clear"/>
            <w:tcMar>
              <w:top w:type="dxa" w:w="120"/>
              <w:left w:type="dxa" w:w="160"/>
              <w:bottom w:type="dxa" w:w="120"/>
              <w:right w:type="dxa" w:w="80"/>
            </w:tcMar>
          </w:tcPr>
          <w:p>
            <w:pPr>
              <w:spacing w:after="40" w:before="0"/>
            </w:pPr>
            <w:r>
              <w:rPr>
                <w:rFonts w:ascii="Arial" w:cs="Arial" w:eastAsia="Arial" w:hAnsi="Arial"/>
                <w:b/>
                <w:bCs/>
                <w:color w:val="00629B"/>
                <w:sz w:val="22"/>
                <w:szCs w:val="22"/>
              </w:rPr>
              <w:t xml:space="preserve">Dirigida a:</w:t>
            </w:r>
          </w:p>
          <w:p>
            <w:pPr>
              <w:spacing w:after="18" w:before="0"/>
            </w:pPr>
            <w:r>
              <w:rPr>
                <w:rFonts w:ascii="Arial" w:cs="Arial" w:eastAsia="Arial" w:hAnsi="Arial"/>
                <w:color w:val="3D3D3D"/>
                <w:sz w:val="20"/>
                <w:szCs w:val="20"/>
              </w:rPr>
              <w:t xml:space="preserve">▸  Secretarías y equipos intersectoriales</w:t>
            </w:r>
          </w:p>
          <w:p>
            <w:pPr>
              <w:spacing w:after="18" w:before="0"/>
            </w:pPr>
            <w:r>
              <w:rPr>
                <w:rFonts w:ascii="Arial" w:cs="Arial" w:eastAsia="Arial" w:hAnsi="Arial"/>
                <w:color w:val="3D3D3D"/>
                <w:sz w:val="20"/>
                <w:szCs w:val="20"/>
              </w:rPr>
              <w:t xml:space="preserve">▸  Gestores de caso del Modelo</w:t>
            </w:r>
          </w:p>
          <w:p>
            <w:pPr>
              <w:spacing w:after="18" w:before="0"/>
            </w:pPr>
            <w:r>
              <w:rPr>
                <w:rFonts w:ascii="Arial" w:cs="Arial" w:eastAsia="Arial" w:hAnsi="Arial"/>
                <w:color w:val="3D3D3D"/>
                <w:sz w:val="20"/>
                <w:szCs w:val="20"/>
              </w:rPr>
              <w:t xml:space="preserve">▸  Equipos técnicos municipales</w:t>
            </w:r>
          </w:p>
          <w:p>
            <w:pPr>
              <w:spacing w:after="18" w:before="0"/>
            </w:pPr>
            <w:r>
              <w:rPr>
                <w:rFonts w:ascii="Arial" w:cs="Arial" w:eastAsia="Arial" w:hAnsi="Arial"/>
                <w:color w:val="3D3D3D"/>
                <w:sz w:val="20"/>
                <w:szCs w:val="20"/>
              </w:rPr>
              <w:t xml:space="preserve">▸  Asesores territoriales y multiplicadores</w:t>
            </w:r>
          </w:p>
          <w:p>
            <w:pPr>
              <w:spacing w:after="0" w:before="0"/>
            </w:pPr>
            <w:r>
              <w:rPr>
                <w:rFonts w:ascii="Arial" w:cs="Arial" w:eastAsia="Arial" w:hAnsi="Arial"/>
                <w:color w:val="3D3D3D"/>
                <w:sz w:val="20"/>
                <w:szCs w:val="20"/>
              </w:rPr>
              <w:t xml:space="preserve">▸  Organizaciones comunitarias y familias</w:t>
            </w:r>
          </w:p>
        </w:tc>
        <w:tc>
          <w:tcPr>
            <w:tcW w:type="dxa" w:w="4819"/>
            <w:tcBorders>
              <w:top w:val="none" w:color="FFFFFF" w:sz="0"/>
              <w:left w:val="none" w:color="FFFFFF" w:sz="0"/>
              <w:bottom w:val="none" w:color="FFFFFF" w:sz="0"/>
              <w:right w:val="none" w:color="FFFFFF" w:sz="0"/>
            </w:tcBorders>
            <w:shd w:fill="F5F5F5" w:val="clear"/>
            <w:tcMar>
              <w:top w:type="dxa" w:w="120"/>
              <w:left w:type="dxa" w:w="80"/>
              <w:bottom w:type="dxa" w:w="120"/>
              <w:right w:type="dxa" w:w="160"/>
            </w:tcMar>
          </w:tcPr>
          <w:p>
            <w:pPr>
              <w:spacing w:after="40" w:before="0"/>
            </w:pPr>
            <w:r>
              <w:rPr>
                <w:rFonts w:ascii="Arial" w:cs="Arial" w:eastAsia="Arial" w:hAnsi="Arial"/>
                <w:b/>
                <w:bCs/>
                <w:color w:val="00629B"/>
                <w:sz w:val="22"/>
                <w:szCs w:val="22"/>
              </w:rPr>
              <w:t xml:space="preserve">Propósito:</w:t>
            </w:r>
          </w:p>
          <w:p>
            <w:pPr>
              <w:spacing w:after="0" w:before="0"/>
              <w:jc w:val="both"/>
            </w:pPr>
            <w:r>
              <w:rPr>
                <w:rFonts w:ascii="Arial" w:cs="Arial" w:eastAsia="Arial" w:hAnsi="Arial"/>
                <w:color w:val="3D3D3D"/>
                <w:sz w:val="20"/>
                <w:szCs w:val="20"/>
              </w:rPr>
              <w:t xml:space="preserve">Orientar el funcionamiento de la Mesa de Soluciones Innovadoras como instancia de decisión intersectorial que convierte los reportes de gestión de casos en acciones concretas de mejora de servicios, provisión de apoyos y reducción de cargas de cuidado.</w:t>
            </w:r>
          </w:p>
        </w:tc>
      </w:tr>
    </w:tbl>
    <w:p>
      <w:pPr>
        <w:spacing w:after="0" w:before="8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00629B" w:val="clear"/>
            <w:tcMar>
              <w:top w:type="dxa" w:w="80"/>
              <w:left w:type="dxa" w:w="280"/>
              <w:bottom w:type="dxa" w:w="80"/>
              <w:right w:type="dxa" w:w="280"/>
            </w:tcMar>
          </w:tcPr>
          <w:p>
            <w:pPr>
              <w:spacing w:after="0" w:before="0"/>
              <w:jc w:val="center"/>
            </w:pPr>
            <w:r>
              <w:rPr>
                <w:rFonts w:ascii="Arial" w:cs="Arial" w:eastAsia="Arial" w:hAnsi="Arial"/>
                <w:color w:val="FFFFFF"/>
                <w:sz w:val="22"/>
                <w:szCs w:val="22"/>
              </w:rPr>
              <w:t xml:space="preserve">Colombia, 2025</w:t>
            </w:r>
          </w:p>
        </w:tc>
      </w:tr>
    </w:tbl>
    <w:p>
      <w:r>
        <w:br w:type="page"/>
      </w:r>
    </w:p>
    <w:p>
      <w:pPr>
        <w:pStyle w:val="Heading1"/>
        <w:spacing w:after="120" w:before="280"/>
      </w:pPr>
      <w:r>
        <w:rPr>
          <w:rFonts w:ascii="Arial" w:cs="Arial" w:eastAsia="Arial" w:hAnsi="Arial"/>
          <w:b/>
          <w:bCs/>
          <w:color w:val="00629B"/>
          <w:sz w:val="32"/>
          <w:szCs w:val="32"/>
        </w:rPr>
        <w:t xml:space="preserve">Presentación</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3D3D3D"/>
          <w:sz w:val="22"/>
          <w:szCs w:val="22"/>
        </w:rPr>
        <w:t xml:space="preserve">La Mesa de Soluciones Innovadoras de Apoyo y Cuidado es la instancia intersectorial de decisión, innovación y mejora continua del Modelo de Sistema Local de Cuidados y Apoyos Inclusivos. No es una reunión más de coordinación: es el mecanismo que convierte la información acumulada en la gestión de casos individuales en decisiones concretas que mejoran los servicios, amplían la provisión de apoyos y reducen las cargas de cuidado para las personas con discapacidad, la niñez, la adolescencia, sus familias y cuidadores.</w:t>
      </w:r>
    </w:p>
    <w:p>
      <w:pPr>
        <w:spacing w:after="60" w:before="60"/>
        <w:jc w:val="both"/>
      </w:pPr>
      <w:r>
        <w:rPr>
          <w:rFonts w:ascii="Arial" w:cs="Arial" w:eastAsia="Arial" w:hAnsi="Arial"/>
          <w:b w:val="false"/>
          <w:bCs w:val="false"/>
          <w:i w:val="false"/>
          <w:iCs w:val="false"/>
          <w:color w:val="3D3D3D"/>
          <w:sz w:val="22"/>
          <w:szCs w:val="22"/>
        </w:rPr>
        <w:t xml:space="preserve">Esta guía describe qué es la Mesa, para qué sirve, quiénes la integran, cómo se prepara, cómo se desarrolla cada sesión y cómo se hace seguimiento a sus decisiones. Incluye los formatos operativos necesarios para su implementación desde el primer día.</w:t>
      </w:r>
    </w:p>
    <w:p>
      <w:pPr>
        <w:spacing w:after="60" w:before="60"/>
        <w:jc w:val="both"/>
      </w:pPr>
      <w:r>
        <w:rPr>
          <w:rFonts w:ascii="Arial" w:cs="Arial" w:eastAsia="Arial" w:hAnsi="Arial"/>
          <w:b w:val="false"/>
          <w:bCs w:val="false"/>
          <w:i w:val="false"/>
          <w:iCs w:val="false"/>
          <w:color w:val="3D3D3D"/>
          <w:sz w:val="22"/>
          <w:szCs w:val="22"/>
        </w:rPr>
        <w:t xml:space="preserve">La guía forma parte de la Caja de Herramientas del Modelo y debe usarse en articulación con el Sistema de gestión de casos y la Plantilla de Gobernanza Intersectorial.</w:t>
      </w:r>
    </w:p>
    <w:p>
      <w:r>
        <w:br w:type="page"/>
      </w:r>
    </w:p>
    <w:p>
      <w:pPr>
        <w:pStyle w:val="Heading1"/>
        <w:spacing w:after="120" w:before="280"/>
      </w:pPr>
      <w:r>
        <w:rPr>
          <w:rFonts w:ascii="Arial" w:cs="Arial" w:eastAsia="Arial" w:hAnsi="Arial"/>
          <w:b/>
          <w:bCs/>
          <w:color w:val="00629B"/>
          <w:sz w:val="32"/>
          <w:szCs w:val="32"/>
        </w:rPr>
        <w:t xml:space="preserve">1. Qué es la Mesa de Soluciones Innovadoras</w:t>
      </w:r>
    </w:p>
    <w:p>
      <w:pPr>
        <w:pBdr>
          <w:bottom w:val="single" w:color="1CABE2" w:sz="12" w:space="1"/>
        </w:pBdr>
        <w:spacing w:after="40" w:before="0"/>
      </w:pPr>
    </w:p>
    <w:p>
      <w:pPr>
        <w:pStyle w:val="Heading2"/>
        <w:spacing w:after="80" w:before="220"/>
      </w:pPr>
      <w:r>
        <w:rPr>
          <w:rFonts w:ascii="Arial" w:cs="Arial" w:eastAsia="Arial" w:hAnsi="Arial"/>
          <w:b/>
          <w:bCs/>
          <w:color w:val="1CABE2"/>
          <w:sz w:val="26"/>
          <w:szCs w:val="26"/>
        </w:rPr>
        <w:t xml:space="preserve">1.1 Definición y lugar en el Modelo</w:t>
      </w:r>
    </w:p>
    <w:p>
      <w:pPr>
        <w:spacing w:after="60" w:before="60"/>
        <w:jc w:val="both"/>
      </w:pPr>
      <w:r>
        <w:rPr>
          <w:rFonts w:ascii="Arial" w:cs="Arial" w:eastAsia="Arial" w:hAnsi="Arial"/>
          <w:b w:val="false"/>
          <w:bCs w:val="false"/>
          <w:i w:val="false"/>
          <w:iCs w:val="false"/>
          <w:color w:val="3D3D3D"/>
          <w:sz w:val="22"/>
          <w:szCs w:val="22"/>
        </w:rPr>
        <w:t xml:space="preserve">La Mesa de Soluciones Innovadoras de Apoyo y Cuidado es una instancia de trabajo colaborativo, intersectorial y centrado en las personas, que opera en el nivel municipal como el espacio de decisión donde se analizan colectivamente los casos, barreras y necesidades reportadas por los gestores, y se acuerdan soluciones concretas que ningún sector puede activar de manera aislada.</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374EA2"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Posición en el Modelo de gestión local de cuidados y apoyos</w:t>
            </w:r>
          </w:p>
        </w:tc>
      </w:tr>
      <w:tr>
        <w:tc>
          <w:tcPr>
            <w:tcW w:type="dxa" w:w="9638"/>
            <w:tcBorders>
              <w:top w:val="none" w:color="FFFFFF" w:sz="0"/>
              <w:left w:val="none" w:color="FFFFFF" w:sz="0"/>
              <w:bottom w:val="none" w:color="FFFFFF" w:sz="0"/>
              <w:right w:val="none" w:color="FFFFFF" w:sz="0"/>
            </w:tcBorders>
            <w:shd w:fill="F0F0FA" w:val="clear"/>
            <w:tcMar>
              <w:top w:type="dxa" w:w="55"/>
              <w:left w:type="dxa" w:w="180"/>
              <w:bottom w:type="dxa" w:w="55"/>
              <w:right w:type="dxa" w:w="180"/>
            </w:tcMar>
          </w:tcPr>
          <w:p>
            <w:pPr>
              <w:spacing w:after="0" w:before="0"/>
            </w:pPr>
            <w:r>
              <w:rPr>
                <w:rFonts w:ascii="Arial" w:cs="Arial" w:eastAsia="Arial" w:hAnsi="Arial"/>
                <w:color w:val="3D3D3D"/>
                <w:sz w:val="21"/>
                <w:szCs w:val="21"/>
              </w:rPr>
              <w:t xml:space="preserve">La Mesa articula las tres capacidades institucionales del Modelo: es la instancia donde la información de la Capacidad 1 (identificación de necesidades) se convierte en decisiones para la Capacidad 2 (gestión de casos y servicios inclusivos) y la Capacidad 3 (provisión de servicios de cuidado y apoyo).</w:t>
            </w:r>
          </w:p>
        </w:tc>
      </w:tr>
      <w:tr>
        <w:tc>
          <w:tcPr>
            <w:tcW w:type="dxa" w:w="9638"/>
            <w:tcBorders>
              <w:top w:val="none" w:color="FFFFFF" w:sz="0"/>
              <w:left w:val="none" w:color="FFFFFF" w:sz="0"/>
              <w:bottom w:val="none" w:color="FFFFFF" w:sz="0"/>
              <w:right w:val="none" w:color="FFFFFF" w:sz="0"/>
            </w:tcBorders>
            <w:shd w:fill="F0F0FA" w:val="clear"/>
            <w:tcMar>
              <w:top w:type="dxa" w:w="55"/>
              <w:left w:type="dxa" w:w="180"/>
              <w:bottom w:type="dxa" w:w="55"/>
              <w:right w:type="dxa" w:w="180"/>
            </w:tcMar>
          </w:tcPr>
          <w:p>
            <w:pPr>
              <w:spacing w:after="0" w:before="0"/>
            </w:pPr>
            <w:r>
              <w:rPr>
                <w:rFonts w:ascii="Arial" w:cs="Arial" w:eastAsia="Arial" w:hAnsi="Arial"/>
                <w:color w:val="3D3D3D"/>
                <w:sz w:val="21"/>
                <w:szCs w:val="21"/>
              </w:rPr>
              <w:t xml:space="preserve">Dentro del proceso crítico transversal de gestión de casos, la Mesa es el mecanismo de revisión colectiva que ocurre entre el Paso 04 (activación de servicios) y el Paso 05 (seguimiento), y que retroalimenta el ciclo completo.</w:t>
            </w:r>
          </w:p>
        </w:tc>
      </w:tr>
      <w:tr>
        <w:tc>
          <w:tcPr>
            <w:tcW w:type="dxa" w:w="9638"/>
            <w:tcBorders>
              <w:top w:val="none" w:color="FFFFFF" w:sz="0"/>
              <w:left w:val="none" w:color="FFFFFF" w:sz="0"/>
              <w:bottom w:val="none" w:color="FFFFFF" w:sz="0"/>
              <w:right w:val="none" w:color="FFFFFF" w:sz="0"/>
            </w:tcBorders>
            <w:shd w:fill="F0F0FA" w:val="clear"/>
            <w:tcMar>
              <w:top w:type="dxa" w:w="55"/>
              <w:left w:type="dxa" w:w="180"/>
              <w:bottom w:type="dxa" w:w="55"/>
              <w:right w:type="dxa" w:w="180"/>
            </w:tcMar>
          </w:tcPr>
          <w:p>
            <w:pPr>
              <w:spacing w:after="0" w:before="0"/>
            </w:pPr>
            <w:r>
              <w:rPr>
                <w:rFonts w:ascii="Arial" w:cs="Arial" w:eastAsia="Arial" w:hAnsi="Arial"/>
                <w:color w:val="3D3D3D"/>
                <w:sz w:val="21"/>
                <w:szCs w:val="21"/>
              </w:rPr>
              <w:t xml:space="preserve">Su funcionamiento regular es una condición para que el Modelo no se convierta en gestión de casos aislada sino en transformación sistémica del municipio.</w:t>
            </w:r>
          </w:p>
        </w:tc>
      </w:tr>
    </w:tbl>
    <w:p>
      <w:pPr>
        <w:spacing w:after="0" w:before="100"/>
      </w:pPr>
    </w:p>
    <w:p>
      <w:pPr>
        <w:pStyle w:val="Heading2"/>
        <w:spacing w:after="80" w:before="220"/>
      </w:pPr>
      <w:r>
        <w:rPr>
          <w:rFonts w:ascii="Arial" w:cs="Arial" w:eastAsia="Arial" w:hAnsi="Arial"/>
          <w:b/>
          <w:bCs/>
          <w:color w:val="1CABE2"/>
          <w:sz w:val="26"/>
          <w:szCs w:val="26"/>
        </w:rPr>
        <w:t xml:space="preserve">1.2 Diferencia con otras instancias de coordinación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c>
          <w:tcPr>
            <w:tcW w:type="dxa" w:w="3662"/>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Instancia</w:t>
            </w:r>
          </w:p>
        </w:tc>
        <w:tc>
          <w:tcPr>
            <w:tcW w:type="dxa" w:w="5976"/>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Función y alcance</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Mesa de Soluciones Innovadoras</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Decide sobre casos y barreras concretas, activa rutas intersectoriales, genera alertas de mejora continua. Sesiones con agenda basada en reportes de gestores. Decisiones con responsable y fecha.</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Mesa intersectorial o de gobernanza</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Define el marco estratégico, acuerdos sectoriales y recursos del Modelo. Opera en un nivel de planeación más amplio. La Mesa de Soluciones le reporta.</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Reunión de equipo de gestores</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Revisión interna del equipo de gestión de casos. No toma decisiones intersectoriales. Prepara el reporte que entra a la Mesa de Soluciones.</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Comité técnico sectorial (salud, educación, etc.)</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Opera dentro de un solo sector. La Mesa de Soluciones articula entre sectores lo que cada comité no puede resolver por sí solo.</w:t>
            </w:r>
          </w:p>
        </w:tc>
      </w:tr>
    </w:tbl>
    <w:p>
      <w:pPr>
        <w:spacing w:after="0" w:before="100"/>
      </w:pPr>
    </w:p>
    <w:p>
      <w:pPr>
        <w:pStyle w:val="Heading2"/>
        <w:spacing w:after="80" w:before="220"/>
      </w:pPr>
      <w:r>
        <w:rPr>
          <w:rFonts w:ascii="Arial" w:cs="Arial" w:eastAsia="Arial" w:hAnsi="Arial"/>
          <w:b/>
          <w:bCs/>
          <w:color w:val="1CABE2"/>
          <w:sz w:val="26"/>
          <w:szCs w:val="26"/>
        </w:rPr>
        <w:t xml:space="preserve">1.3 Objetivos de la Mesa</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09"/>
      </w:tblGrid>
      <w:tr>
        <w:tc>
          <w:tcPr>
            <w:tcW w:type="dxa" w:w="2409"/>
            <w:tcBorders>
              <w:top w:val="none" w:color="FFFFFF" w:sz="0"/>
              <w:left w:val="none" w:color="FFFFFF" w:sz="0"/>
              <w:bottom w:val="none" w:color="FFFFFF" w:sz="0"/>
              <w:right w:val="none" w:color="FFFFFF" w:sz="0"/>
            </w:tcBorders>
            <w:shd w:fill="00629B"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01</w:t>
            </w:r>
          </w:p>
          <w:p>
            <w:pPr>
              <w:spacing w:after="0" w:before="0"/>
              <w:jc w:val="center"/>
            </w:pPr>
            <w:r>
              <w:rPr>
                <w:rFonts w:ascii="Arial" w:cs="Arial" w:eastAsia="Arial" w:hAnsi="Arial"/>
                <w:color w:val="FFFFFF"/>
                <w:sz w:val="19"/>
                <w:szCs w:val="19"/>
              </w:rPr>
              <w:t xml:space="preserve">Decidir soluciones para barreras de acceso</w:t>
            </w:r>
          </w:p>
        </w:tc>
        <w:tc>
          <w:tcPr>
            <w:tcW w:type="dxa" w:w="2409"/>
            <w:tcBorders>
              <w:top w:val="none" w:color="FFFFFF" w:sz="0"/>
              <w:left w:val="none" w:color="FFFFFF" w:sz="0"/>
              <w:bottom w:val="none" w:color="FFFFFF" w:sz="0"/>
              <w:right w:val="none" w:color="FFFFFF" w:sz="0"/>
            </w:tcBorders>
            <w:shd w:fill="1CABE2"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02</w:t>
            </w:r>
          </w:p>
          <w:p>
            <w:pPr>
              <w:spacing w:after="0" w:before="0"/>
              <w:jc w:val="center"/>
            </w:pPr>
            <w:r>
              <w:rPr>
                <w:rFonts w:ascii="Arial" w:cs="Arial" w:eastAsia="Arial" w:hAnsi="Arial"/>
                <w:color w:val="FFFFFF"/>
                <w:sz w:val="19"/>
                <w:szCs w:val="19"/>
              </w:rPr>
              <w:t xml:space="preserve">Mejorar servicios inclusivos sectoriales</w:t>
            </w:r>
          </w:p>
        </w:tc>
        <w:tc>
          <w:tcPr>
            <w:tcW w:type="dxa" w:w="2409"/>
            <w:tcBorders>
              <w:top w:val="none" w:color="FFFFFF" w:sz="0"/>
              <w:left w:val="none" w:color="FFFFFF" w:sz="0"/>
              <w:bottom w:val="none" w:color="FFFFFF" w:sz="0"/>
              <w:right w:val="none" w:color="FFFFFF" w:sz="0"/>
            </w:tcBorders>
            <w:shd w:fill="374EA2"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03</w:t>
            </w:r>
          </w:p>
          <w:p>
            <w:pPr>
              <w:spacing w:after="0" w:before="0"/>
              <w:jc w:val="center"/>
            </w:pPr>
            <w:r>
              <w:rPr>
                <w:rFonts w:ascii="Arial" w:cs="Arial" w:eastAsia="Arial" w:hAnsi="Arial"/>
                <w:color w:val="FFFFFF"/>
                <w:sz w:val="19"/>
                <w:szCs w:val="19"/>
              </w:rPr>
              <w:t xml:space="preserve">Ampliar provisión de apoyos y cuidado</w:t>
            </w:r>
          </w:p>
        </w:tc>
        <w:tc>
          <w:tcPr>
            <w:tcW w:type="dxa" w:w="2409"/>
            <w:tcBorders>
              <w:top w:val="none" w:color="FFFFFF" w:sz="0"/>
              <w:left w:val="none" w:color="FFFFFF" w:sz="0"/>
              <w:bottom w:val="none" w:color="FFFFFF" w:sz="0"/>
              <w:right w:val="none" w:color="FFFFFF" w:sz="0"/>
            </w:tcBorders>
            <w:shd w:fill="007B8A"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04</w:t>
            </w:r>
          </w:p>
          <w:p>
            <w:pPr>
              <w:spacing w:after="0" w:before="0"/>
              <w:jc w:val="center"/>
            </w:pPr>
            <w:r>
              <w:rPr>
                <w:rFonts w:ascii="Arial" w:cs="Arial" w:eastAsia="Arial" w:hAnsi="Arial"/>
                <w:color w:val="FFFFFF"/>
                <w:sz w:val="19"/>
                <w:szCs w:val="19"/>
              </w:rPr>
              <w:t xml:space="preserve">Reducir cargas de cuidado no remunerado</w:t>
            </w:r>
          </w:p>
        </w:tc>
      </w:tr>
    </w:tbl>
    <w:p>
      <w:pPr>
        <w:spacing w:after="0" w:before="12"/>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09"/>
      </w:tblGrid>
      <w:tr>
        <w:tc>
          <w:tcPr>
            <w:tcW w:type="dxa" w:w="2409"/>
            <w:tcBorders>
              <w:top w:val="none" w:color="FFFFFF" w:sz="0"/>
              <w:left w:val="none" w:color="FFFFFF" w:sz="0"/>
              <w:bottom w:val="none" w:color="FFFFFF" w:sz="0"/>
              <w:right w:val="none" w:color="FFFFFF" w:sz="0"/>
            </w:tcBorders>
            <w:shd w:fill="80BD41"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05</w:t>
            </w:r>
          </w:p>
          <w:p>
            <w:pPr>
              <w:spacing w:after="0" w:before="0"/>
              <w:jc w:val="center"/>
            </w:pPr>
            <w:r>
              <w:rPr>
                <w:rFonts w:ascii="Arial" w:cs="Arial" w:eastAsia="Arial" w:hAnsi="Arial"/>
                <w:color w:val="FFFFFF"/>
                <w:sz w:val="19"/>
                <w:szCs w:val="19"/>
              </w:rPr>
              <w:t xml:space="preserve">Activar rutas intersectoriales en el municipio</w:t>
            </w:r>
          </w:p>
        </w:tc>
        <w:tc>
          <w:tcPr>
            <w:tcW w:type="dxa" w:w="2409"/>
            <w:tcBorders>
              <w:top w:val="none" w:color="FFFFFF" w:sz="0"/>
              <w:left w:val="none" w:color="FFFFFF" w:sz="0"/>
              <w:bottom w:val="none" w:color="FFFFFF" w:sz="0"/>
              <w:right w:val="none" w:color="FFFFFF" w:sz="0"/>
            </w:tcBorders>
            <w:shd w:fill="F26A21"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06</w:t>
            </w:r>
          </w:p>
          <w:p>
            <w:pPr>
              <w:spacing w:after="0" w:before="0"/>
              <w:jc w:val="center"/>
            </w:pPr>
            <w:r>
              <w:rPr>
                <w:rFonts w:ascii="Arial" w:cs="Arial" w:eastAsia="Arial" w:hAnsi="Arial"/>
                <w:color w:val="FFFFFF"/>
                <w:sz w:val="19"/>
                <w:szCs w:val="19"/>
              </w:rPr>
              <w:t xml:space="preserve">Generar alertas de mejora continua</w:t>
            </w:r>
          </w:p>
        </w:tc>
        <w:tc>
          <w:tcPr>
            <w:tcW w:type="dxa" w:w="2409"/>
            <w:tcBorders>
              <w:top w:val="none" w:color="FFFFFF" w:sz="0"/>
              <w:left w:val="none" w:color="FFFFFF" w:sz="0"/>
              <w:bottom w:val="none" w:color="FFFFFF" w:sz="0"/>
              <w:right w:val="none" w:color="FFFFFF" w:sz="0"/>
            </w:tcBorders>
            <w:shd w:fill="E2231A"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07</w:t>
            </w:r>
          </w:p>
          <w:p>
            <w:pPr>
              <w:spacing w:after="0" w:before="0"/>
              <w:jc w:val="center"/>
            </w:pPr>
            <w:r>
              <w:rPr>
                <w:rFonts w:ascii="Arial" w:cs="Arial" w:eastAsia="Arial" w:hAnsi="Arial"/>
                <w:color w:val="FFFFFF"/>
                <w:sz w:val="19"/>
                <w:szCs w:val="19"/>
              </w:rPr>
              <w:t xml:space="preserve">Proteger a niñas y adolescentes cuidadoras</w:t>
            </w:r>
          </w:p>
        </w:tc>
        <w:tc>
          <w:tcPr>
            <w:tcW w:type="dxa" w:w="2409"/>
            <w:tcBorders>
              <w:top w:val="none" w:color="FFFFFF" w:sz="0"/>
              <w:left w:val="none" w:color="FFFFFF" w:sz="0"/>
              <w:bottom w:val="none" w:color="FFFFFF" w:sz="0"/>
              <w:right w:val="none" w:color="FFFFFF" w:sz="0"/>
            </w:tcBorders>
            <w:shd w:fill="FFC20E"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08</w:t>
            </w:r>
          </w:p>
          <w:p>
            <w:pPr>
              <w:spacing w:after="0" w:before="0"/>
              <w:jc w:val="center"/>
            </w:pPr>
            <w:r>
              <w:rPr>
                <w:rFonts w:ascii="Arial" w:cs="Arial" w:eastAsia="Arial" w:hAnsi="Arial"/>
                <w:color w:val="FFFFFF"/>
                <w:sz w:val="19"/>
                <w:szCs w:val="19"/>
              </w:rPr>
              <w:t xml:space="preserve">Sostener la innovación centrada en la persona</w:t>
            </w:r>
          </w:p>
        </w:tc>
      </w:tr>
    </w:tbl>
    <w:p>
      <w:pPr>
        <w:spacing w:after="0" w:before="100"/>
      </w:pPr>
    </w:p>
    <w:p>
      <w:r>
        <w:br w:type="page"/>
      </w:r>
    </w:p>
    <w:p>
      <w:pPr>
        <w:pStyle w:val="Heading1"/>
        <w:spacing w:after="120" w:before="280"/>
      </w:pPr>
      <w:r>
        <w:rPr>
          <w:rFonts w:ascii="Arial" w:cs="Arial" w:eastAsia="Arial" w:hAnsi="Arial"/>
          <w:b/>
          <w:bCs/>
          <w:color w:val="00629B"/>
          <w:sz w:val="32"/>
          <w:szCs w:val="32"/>
        </w:rPr>
        <w:t xml:space="preserve">2. Integrantes y roles</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3D3D3D"/>
          <w:sz w:val="22"/>
          <w:szCs w:val="22"/>
        </w:rPr>
        <w:t xml:space="preserve">La Mesa tiene un núcleo permanente y actores invitados según la agenda de cada sesión. Su composición refleja la intersectorialidad del Modelo y la centralidad de las personas con discapacidad y sus familias.</w:t>
      </w:r>
    </w:p>
    <w:p>
      <w:pPr>
        <w:spacing w:after="0" w:before="60"/>
      </w:pPr>
    </w:p>
    <w:p>
      <w:pPr>
        <w:pStyle w:val="Heading2"/>
        <w:spacing w:after="80" w:before="220"/>
      </w:pPr>
      <w:r>
        <w:rPr>
          <w:rFonts w:ascii="Arial" w:cs="Arial" w:eastAsia="Arial" w:hAnsi="Arial"/>
          <w:b/>
          <w:bCs/>
          <w:color w:val="1CABE2"/>
          <w:sz w:val="26"/>
          <w:szCs w:val="26"/>
        </w:rPr>
        <w:t xml:space="preserve">2.1 Núcleo permanente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98"/>
        <w:gridCol w:w="3084"/>
        <w:gridCol w:w="3856"/>
      </w:tblGrid>
      <w:tr>
        <w:tc>
          <w:tcPr>
            <w:tcW w:type="dxa" w:w="2698"/>
            <w:tcBorders>
              <w:top w:val="single" w:color="00629B" w:sz="6"/>
              <w:left w:val="single" w:color="00629B" w:sz="6"/>
              <w:bottom w:val="single" w:color="00629B" w:sz="6"/>
              <w:right w:val="single" w:color="00629B" w:sz="6"/>
            </w:tcBorders>
            <w:shd w:fill="00629B" w:val="clear"/>
            <w:tcMar>
              <w:top w:type="dxa" w:w="80"/>
              <w:left w:type="dxa" w:w="100"/>
              <w:bottom w:type="dxa" w:w="80"/>
              <w:right w:type="dxa" w:w="100"/>
            </w:tcMar>
          </w:tcPr>
          <w:p>
            <w:pPr>
              <w:spacing w:after="0" w:before="0"/>
            </w:pPr>
            <w:r>
              <w:rPr>
                <w:rFonts w:ascii="Arial" w:cs="Arial" w:eastAsia="Arial" w:hAnsi="Arial"/>
                <w:b/>
                <w:bCs/>
                <w:color w:val="FFFFFF"/>
                <w:sz w:val="20"/>
                <w:szCs w:val="20"/>
              </w:rPr>
              <w:t xml:space="preserve">Integrante</w:t>
            </w:r>
          </w:p>
        </w:tc>
        <w:tc>
          <w:tcPr>
            <w:tcW w:type="dxa" w:w="3084"/>
            <w:tcBorders>
              <w:top w:val="single" w:color="00629B" w:sz="6"/>
              <w:left w:val="single" w:color="00629B" w:sz="6"/>
              <w:bottom w:val="single" w:color="00629B" w:sz="6"/>
              <w:right w:val="single" w:color="00629B" w:sz="6"/>
            </w:tcBorders>
            <w:shd w:fill="00629B" w:val="clear"/>
            <w:tcMar>
              <w:top w:type="dxa" w:w="80"/>
              <w:left w:type="dxa" w:w="100"/>
              <w:bottom w:type="dxa" w:w="80"/>
              <w:right w:type="dxa" w:w="100"/>
            </w:tcMar>
          </w:tcPr>
          <w:p>
            <w:pPr>
              <w:spacing w:after="0" w:before="0"/>
            </w:pPr>
            <w:r>
              <w:rPr>
                <w:rFonts w:ascii="Arial" w:cs="Arial" w:eastAsia="Arial" w:hAnsi="Arial"/>
                <w:b/>
                <w:bCs/>
                <w:color w:val="FFFFFF"/>
                <w:sz w:val="20"/>
                <w:szCs w:val="20"/>
              </w:rPr>
              <w:t xml:space="preserve">Entidad o dependencia</w:t>
            </w:r>
          </w:p>
        </w:tc>
        <w:tc>
          <w:tcPr>
            <w:tcW w:type="dxa" w:w="3856"/>
            <w:tcBorders>
              <w:top w:val="single" w:color="00629B" w:sz="6"/>
              <w:left w:val="single" w:color="00629B" w:sz="6"/>
              <w:bottom w:val="single" w:color="00629B" w:sz="6"/>
              <w:right w:val="single" w:color="00629B" w:sz="6"/>
            </w:tcBorders>
            <w:shd w:fill="00629B" w:val="clear"/>
            <w:tcMar>
              <w:top w:type="dxa" w:w="80"/>
              <w:left w:type="dxa" w:w="100"/>
              <w:bottom w:type="dxa" w:w="80"/>
              <w:right w:type="dxa" w:w="100"/>
            </w:tcMar>
          </w:tcPr>
          <w:p>
            <w:pPr>
              <w:spacing w:after="0" w:before="0"/>
            </w:pPr>
            <w:r>
              <w:rPr>
                <w:rFonts w:ascii="Arial" w:cs="Arial" w:eastAsia="Arial" w:hAnsi="Arial"/>
                <w:b/>
                <w:bCs/>
                <w:color w:val="FFFFFF"/>
                <w:sz w:val="20"/>
                <w:szCs w:val="20"/>
              </w:rPr>
              <w:t xml:space="preserve">Función en la Mesa</w:t>
            </w:r>
          </w:p>
        </w:tc>
      </w:tr>
      <w:tr>
        <w:tc>
          <w:tcPr>
            <w:tcW w:type="dxa" w:w="2698"/>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Coordinador o coordinadora de la Mesa</w:t>
            </w:r>
          </w:p>
        </w:tc>
        <w:tc>
          <w:tcPr>
            <w:tcW w:type="dxa" w:w="3084"/>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Secretaría de Desarrollo Social o dependencia líder del Modelo en el municipio</w:t>
            </w:r>
          </w:p>
        </w:tc>
        <w:tc>
          <w:tcPr>
            <w:tcW w:type="dxa" w:w="3856"/>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Convocar, facilitar y garantizar que las decisiones se documenten y se cumplan.</w:t>
            </w:r>
          </w:p>
        </w:tc>
      </w:tr>
      <w:tr>
        <w:tc>
          <w:tcPr>
            <w:tcW w:type="dxa" w:w="2698"/>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Equipo de gestores de caso</w:t>
            </w:r>
          </w:p>
        </w:tc>
        <w:tc>
          <w:tcPr>
            <w:tcW w:type="dxa" w:w="308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Dependencia del Modelo o entidad ejecutora</w:t>
            </w:r>
          </w:p>
        </w:tc>
        <w:tc>
          <w:tcPr>
            <w:tcW w:type="dxa" w:w="3856"/>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Presentar el reporte de casos, barreras identificadas y alertas. Son la voz de las personas y familias en la Mesa.</w:t>
            </w:r>
          </w:p>
        </w:tc>
      </w:tr>
      <w:tr>
        <w:tc>
          <w:tcPr>
            <w:tcW w:type="dxa" w:w="2698"/>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Referente de salud</w:t>
            </w:r>
          </w:p>
        </w:tc>
        <w:tc>
          <w:tcPr>
            <w:tcW w:type="dxa" w:w="3084"/>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Secretaría de Salud o red prestadora local</w:t>
            </w:r>
          </w:p>
        </w:tc>
        <w:tc>
          <w:tcPr>
            <w:tcW w:type="dxa" w:w="3856"/>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Informar sobre la oferta de salud, rehabilitación y certificación de discapacidad; comprometerse con acciones de mejora.</w:t>
            </w:r>
          </w:p>
        </w:tc>
      </w:tr>
      <w:tr>
        <w:tc>
          <w:tcPr>
            <w:tcW w:type="dxa" w:w="2698"/>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Referente de educación</w:t>
            </w:r>
          </w:p>
        </w:tc>
        <w:tc>
          <w:tcPr>
            <w:tcW w:type="dxa" w:w="308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Secretaría de Educación o establecimientos educativos</w:t>
            </w:r>
          </w:p>
        </w:tc>
        <w:tc>
          <w:tcPr>
            <w:tcW w:type="dxa" w:w="3856"/>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Informar sobre acceso, ajustes razonables y educación inicial inclusiva; comprometerse con acciones de mejora.</w:t>
            </w:r>
          </w:p>
        </w:tc>
      </w:tr>
      <w:tr>
        <w:tc>
          <w:tcPr>
            <w:tcW w:type="dxa" w:w="2698"/>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Referente de protección social</w:t>
            </w:r>
          </w:p>
        </w:tc>
        <w:tc>
          <w:tcPr>
            <w:tcW w:type="dxa" w:w="3084"/>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Secretaría de Desarrollo Social, ICBF o programas sociales</w:t>
            </w:r>
          </w:p>
        </w:tc>
        <w:tc>
          <w:tcPr>
            <w:tcW w:type="dxa" w:w="3856"/>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Informar sobre transferencias, programas de cuidado y protección; activar rutas cuando corresponda.</w:t>
            </w:r>
          </w:p>
        </w:tc>
      </w:tr>
      <w:tr>
        <w:tc>
          <w:tcPr>
            <w:tcW w:type="dxa" w:w="2698"/>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Referente de género y cuidado</w:t>
            </w:r>
          </w:p>
        </w:tc>
        <w:tc>
          <w:tcPr>
            <w:tcW w:type="dxa" w:w="308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Secretaría de la Mujer, enlace de género o instancia equivalente</w:t>
            </w:r>
          </w:p>
        </w:tc>
        <w:tc>
          <w:tcPr>
            <w:tcW w:type="dxa" w:w="3856"/>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Garantizar el enfoque de género, visibilizar la carga de cuidado y proteger a niñas y adolescentes cuidadoras.</w:t>
            </w:r>
          </w:p>
        </w:tc>
      </w:tr>
    </w:tbl>
    <w:p>
      <w:pPr>
        <w:spacing w:after="0" w:before="100"/>
      </w:pPr>
    </w:p>
    <w:p>
      <w:pPr>
        <w:pStyle w:val="Heading2"/>
        <w:spacing w:after="80" w:before="220"/>
      </w:pPr>
      <w:r>
        <w:rPr>
          <w:rFonts w:ascii="Arial" w:cs="Arial" w:eastAsia="Arial" w:hAnsi="Arial"/>
          <w:b/>
          <w:bCs/>
          <w:color w:val="1CABE2"/>
          <w:sz w:val="26"/>
          <w:szCs w:val="26"/>
        </w:rPr>
        <w:t xml:space="preserve">2.2 Actores invitados por agenda</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337"/>
        <w:gridCol w:w="5301"/>
      </w:tblGrid>
      <w:tr>
        <w:tc>
          <w:tcPr>
            <w:tcW w:type="dxa" w:w="4337"/>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Tema de la agenda</w:t>
            </w:r>
          </w:p>
        </w:tc>
        <w:tc>
          <w:tcPr>
            <w:tcW w:type="dxa" w:w="5301"/>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Actor invitado sugerido</w:t>
            </w:r>
          </w:p>
        </w:tc>
      </w:tr>
      <w:tr>
        <w:tc>
          <w:tcPr>
            <w:tcW w:type="dxa" w:w="4337"/>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Barrera de acceso en certificación de discapacidad</w:t>
            </w:r>
          </w:p>
        </w:tc>
        <w:tc>
          <w:tcPr>
            <w:tcW w:type="dxa" w:w="5301"/>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Equipo de valoración interdisciplinaria del municipio o del departamento</w:t>
            </w:r>
          </w:p>
        </w:tc>
      </w:tr>
      <w:tr>
        <w:tc>
          <w:tcPr>
            <w:tcW w:type="dxa" w:w="4337"/>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Casos que requieren tecnología de asistencia</w:t>
            </w:r>
          </w:p>
        </w:tc>
        <w:tc>
          <w:tcPr>
            <w:tcW w:type="dxa" w:w="5301"/>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Proveedor local o regional de tecnología de asistencia; Instituto Nacional para Ciegos o Instituto Nacional para Sordos si aplica</w:t>
            </w:r>
          </w:p>
        </w:tc>
      </w:tr>
      <w:tr>
        <w:tc>
          <w:tcPr>
            <w:tcW w:type="dxa" w:w="4337"/>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Niñas o adolescentes en rol de cuidadora principal</w:t>
            </w:r>
          </w:p>
        </w:tc>
        <w:tc>
          <w:tcPr>
            <w:tcW w:type="dxa" w:w="5301"/>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Comisaría de Familia, Defensoría de Familia del Instituto Colombiano de Bienestar Familiar, equipo de protección</w:t>
            </w:r>
          </w:p>
        </w:tc>
      </w:tr>
      <w:tr>
        <w:tc>
          <w:tcPr>
            <w:tcW w:type="dxa" w:w="4337"/>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Barreras de inclusión laboral de cuidadores</w:t>
            </w:r>
          </w:p>
        </w:tc>
        <w:tc>
          <w:tcPr>
            <w:tcW w:type="dxa" w:w="5301"/>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Servicio Nacional de Aprendizaje, agencias de empleo o sector privado aliado</w:t>
            </w:r>
          </w:p>
        </w:tc>
      </w:tr>
      <w:tr>
        <w:tc>
          <w:tcPr>
            <w:tcW w:type="dxa" w:w="4337"/>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Casos de violencia de género en contexto de cuidado</w:t>
            </w:r>
          </w:p>
        </w:tc>
        <w:tc>
          <w:tcPr>
            <w:tcW w:type="dxa" w:w="5301"/>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Comisaría de Familia, Fiscalía, red de atención a violencias</w:t>
            </w:r>
          </w:p>
        </w:tc>
      </w:tr>
      <w:tr>
        <w:tc>
          <w:tcPr>
            <w:tcW w:type="dxa" w:w="4337"/>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Innovación en modelos de provisión de apoyo</w:t>
            </w:r>
          </w:p>
        </w:tc>
        <w:tc>
          <w:tcPr>
            <w:tcW w:type="dxa" w:w="5301"/>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Organizaciones de personas con discapacidad, organizaciones comunitarias, academia</w:t>
            </w:r>
          </w:p>
        </w:tc>
      </w:tr>
      <w:tr>
        <w:tc>
          <w:tcPr>
            <w:tcW w:type="dxa" w:w="4337"/>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Barreras en programas de transferencias monetarias</w:t>
            </w:r>
          </w:p>
        </w:tc>
        <w:tc>
          <w:tcPr>
            <w:tcW w:type="dxa" w:w="5301"/>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Operador de Renta Ciudadana u otro programa nacional en el municipio</w:t>
            </w:r>
          </w:p>
        </w:tc>
      </w:tr>
    </w:tbl>
    <w:p>
      <w:pPr>
        <w:spacing w:after="0" w:before="100"/>
      </w:pPr>
    </w:p>
    <w:p>
      <w:pPr>
        <w:pStyle w:val="Heading2"/>
        <w:spacing w:after="80" w:before="220"/>
      </w:pPr>
      <w:r>
        <w:rPr>
          <w:rFonts w:ascii="Arial" w:cs="Arial" w:eastAsia="Arial" w:hAnsi="Arial"/>
          <w:b/>
          <w:bCs/>
          <w:color w:val="1CABE2"/>
          <w:sz w:val="26"/>
          <w:szCs w:val="26"/>
        </w:rPr>
        <w:t xml:space="preserve">2.3 Participación de personas con discapacidad y familias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80BD41"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La voz de las personas en la Mesa</w:t>
            </w:r>
          </w:p>
        </w:tc>
      </w:tr>
      <w:tr>
        <w:tc>
          <w:tcPr>
            <w:tcW w:type="dxa" w:w="9638"/>
            <w:tcBorders>
              <w:top w:val="none" w:color="FFFFFF" w:sz="0"/>
              <w:left w:val="none" w:color="FFFFFF" w:sz="0"/>
              <w:bottom w:val="none" w:color="FFFFFF" w:sz="0"/>
              <w:right w:val="none" w:color="FFFFFF" w:sz="0"/>
            </w:tcBorders>
            <w:shd w:fill="F0FAF0"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Al menos una sesión al año debe incluir la participación directa de personas con discapacidad y/o cuidadoras para presentar su experiencia y validar las soluciones propuestas.</w:t>
            </w:r>
          </w:p>
          <w:p>
            <w:pPr>
              <w:pStyle w:val="ListParagraph"/>
              <w:numPr>
                <w:ilvl w:val="0"/>
                <w:numId w:val="2"/>
              </w:numPr>
              <w:spacing w:after="20" w:before="20"/>
            </w:pPr>
            <w:r>
              <w:rPr>
                <w:rFonts w:ascii="Arial" w:cs="Arial" w:eastAsia="Arial" w:hAnsi="Arial"/>
                <w:color w:val="3D3D3D"/>
                <w:sz w:val="21"/>
                <w:szCs w:val="21"/>
              </w:rPr>
              <w:t xml:space="preserve">Los gestores de caso representan activamente la perspectiva de las personas en todas las sesiones, basándose en los reportes individuales anonimizados.</w:t>
            </w:r>
          </w:p>
          <w:p>
            <w:pPr>
              <w:pStyle w:val="ListParagraph"/>
              <w:numPr>
                <w:ilvl w:val="0"/>
                <w:numId w:val="2"/>
              </w:numPr>
              <w:spacing w:after="20" w:before="20"/>
            </w:pPr>
            <w:r>
              <w:rPr>
                <w:rFonts w:ascii="Arial" w:cs="Arial" w:eastAsia="Arial" w:hAnsi="Arial"/>
                <w:color w:val="3D3D3D"/>
                <w:sz w:val="21"/>
                <w:szCs w:val="21"/>
              </w:rPr>
              <w:t xml:space="preserve">Las decisiones de la Mesa deben ser comunicadas a las familias en lenguaje claro, sin tecnicismos, a través del gestor de caso responsable.</w:t>
            </w:r>
          </w:p>
          <w:p>
            <w:pPr>
              <w:pStyle w:val="ListParagraph"/>
              <w:numPr>
                <w:ilvl w:val="0"/>
                <w:numId w:val="2"/>
              </w:numPr>
              <w:spacing w:after="20" w:before="20"/>
            </w:pPr>
            <w:r>
              <w:rPr>
                <w:rFonts w:ascii="Arial" w:cs="Arial" w:eastAsia="Arial" w:hAnsi="Arial"/>
                <w:color w:val="3D3D3D"/>
                <w:sz w:val="21"/>
                <w:szCs w:val="21"/>
              </w:rPr>
              <w:t xml:space="preserve">Cuando la Mesa aborde situaciones que involucren a niñas o adolescentes cuidadoras, se garantizará su participación en la medida en que sea seguro y pertinente para su protección.</w:t>
            </w:r>
          </w:p>
        </w:tc>
      </w:tr>
    </w:tbl>
    <w:p>
      <w:pPr>
        <w:spacing w:after="0" w:before="80"/>
      </w:pPr>
    </w:p>
    <w:p>
      <w:r>
        <w:br w:type="page"/>
      </w:r>
    </w:p>
    <w:p>
      <w:pPr>
        <w:pStyle w:val="Heading1"/>
        <w:spacing w:after="120" w:before="280"/>
      </w:pPr>
      <w:r>
        <w:rPr>
          <w:rFonts w:ascii="Arial" w:cs="Arial" w:eastAsia="Arial" w:hAnsi="Arial"/>
          <w:b/>
          <w:bCs/>
          <w:color w:val="00629B"/>
          <w:sz w:val="32"/>
          <w:szCs w:val="32"/>
        </w:rPr>
        <w:t xml:space="preserve">3. El reporte de gestores: insumo central de la Mesa</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3D3D3D"/>
          <w:sz w:val="22"/>
          <w:szCs w:val="22"/>
        </w:rPr>
        <w:t xml:space="preserve">El reporte de gestores de caso es el insumo que le da sentido a cada sesión de la Mesa. Sin él, la Mesa opera sin información real y sus decisiones pierden pertinencia. Los gestores tienen la responsabilidad de prepararlo antes de cada sesión y de presentarlo de manera estructurada.</w:t>
      </w:r>
    </w:p>
    <w:p>
      <w:pPr>
        <w:spacing w:after="0" w:before="60"/>
      </w:pPr>
    </w:p>
    <w:p>
      <w:pPr>
        <w:pStyle w:val="Heading2"/>
        <w:spacing w:after="80" w:before="220"/>
      </w:pPr>
      <w:r>
        <w:rPr>
          <w:rFonts w:ascii="Arial" w:cs="Arial" w:eastAsia="Arial" w:hAnsi="Arial"/>
          <w:b/>
          <w:bCs/>
          <w:color w:val="1CABE2"/>
          <w:sz w:val="26"/>
          <w:szCs w:val="26"/>
        </w:rPr>
        <w:t xml:space="preserve">3.1 Qué contiene el reporte</w:t>
      </w:r>
    </w:p>
    <w:p>
      <w:pPr>
        <w:spacing w:after="60" w:before="60"/>
        <w:jc w:val="both"/>
      </w:pPr>
      <w:r>
        <w:rPr>
          <w:rFonts w:ascii="Arial" w:cs="Arial" w:eastAsia="Arial" w:hAnsi="Arial"/>
          <w:b w:val="false"/>
          <w:bCs w:val="false"/>
          <w:i w:val="false"/>
          <w:iCs w:val="false"/>
          <w:color w:val="3D3D3D"/>
          <w:sz w:val="22"/>
          <w:szCs w:val="22"/>
        </w:rPr>
        <w:t xml:space="preserve">El reporte sintetiza la información del período entre sesiones (usualmente mensual o bimensual) en cuatro niveles de análisis:</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1CABE2"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Nivel 1 — Gestión individual de casos</w:t>
            </w:r>
          </w:p>
        </w:tc>
      </w:tr>
      <w:tr>
        <w:tc>
          <w:tcPr>
            <w:tcW w:type="dxa" w:w="9638"/>
            <w:tcBorders>
              <w:top w:val="none" w:color="FFFFFF" w:sz="0"/>
              <w:left w:val="none" w:color="FFFFFF" w:sz="0"/>
              <w:bottom w:val="none" w:color="FFFFFF" w:sz="0"/>
              <w:right w:val="none" w:color="FFFFFF" w:sz="0"/>
            </w:tcBorders>
            <w:shd w:fill="EAF6FD"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Número de casos activos en el período, nuevos ingresos y cierres.</w:t>
            </w:r>
          </w:p>
          <w:p>
            <w:pPr>
              <w:pStyle w:val="ListParagraph"/>
              <w:numPr>
                <w:ilvl w:val="0"/>
                <w:numId w:val="2"/>
              </w:numPr>
              <w:spacing w:after="20" w:before="20"/>
            </w:pPr>
            <w:r>
              <w:rPr>
                <w:rFonts w:ascii="Arial" w:cs="Arial" w:eastAsia="Arial" w:hAnsi="Arial"/>
                <w:color w:val="3D3D3D"/>
                <w:sz w:val="21"/>
                <w:szCs w:val="21"/>
              </w:rPr>
              <w:t xml:space="preserve">Barreras identificadas a nivel individual: barreras de acceso a servicios, barreras actitudinales, barreras económicas, barreras de movilidad o transporte, barreras de información.</w:t>
            </w:r>
          </w:p>
          <w:p>
            <w:pPr>
              <w:pStyle w:val="ListParagraph"/>
              <w:numPr>
                <w:ilvl w:val="0"/>
                <w:numId w:val="2"/>
              </w:numPr>
              <w:spacing w:after="20" w:before="20"/>
            </w:pPr>
            <w:r>
              <w:rPr>
                <w:rFonts w:ascii="Arial" w:cs="Arial" w:eastAsia="Arial" w:hAnsi="Arial"/>
                <w:color w:val="3D3D3D"/>
                <w:sz w:val="21"/>
                <w:szCs w:val="21"/>
              </w:rPr>
              <w:t xml:space="preserve">Apoyos requeridos que no pudieron ser activados con los recursos disponibles del gestor.</w:t>
            </w:r>
          </w:p>
          <w:p>
            <w:pPr>
              <w:pStyle w:val="ListParagraph"/>
              <w:numPr>
                <w:ilvl w:val="0"/>
                <w:numId w:val="2"/>
              </w:numPr>
              <w:spacing w:after="20" w:before="20"/>
            </w:pPr>
            <w:r>
              <w:rPr>
                <w:rFonts w:ascii="Arial" w:cs="Arial" w:eastAsia="Arial" w:hAnsi="Arial"/>
                <w:color w:val="3D3D3D"/>
                <w:sz w:val="21"/>
                <w:szCs w:val="21"/>
              </w:rPr>
              <w:t xml:space="preserve">Casos que requieren decisión intersectorial urgente: presentación anónima con perfil de la persona, situación y necesidad.</w:t>
            </w:r>
          </w:p>
          <w:p>
            <w:pPr>
              <w:pStyle w:val="ListParagraph"/>
              <w:numPr>
                <w:ilvl w:val="0"/>
                <w:numId w:val="2"/>
              </w:numPr>
              <w:spacing w:after="20" w:before="20"/>
            </w:pPr>
            <w:r>
              <w:rPr>
                <w:rFonts w:ascii="Arial" w:cs="Arial" w:eastAsia="Arial" w:hAnsi="Arial"/>
                <w:color w:val="3D3D3D"/>
                <w:sz w:val="21"/>
                <w:szCs w:val="21"/>
              </w:rPr>
              <w:t xml:space="preserve">Avances y resultados positivos del período: casos donde se logró resolver una barrera, acceder a un servicio o reducir la carga de cuidado.</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374EA2"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Nivel 2 — Gestión familiar y de cuidadores</w:t>
            </w:r>
          </w:p>
        </w:tc>
      </w:tr>
      <w:tr>
        <w:tc>
          <w:tcPr>
            <w:tcW w:type="dxa" w:w="9638"/>
            <w:tcBorders>
              <w:top w:val="none" w:color="FFFFFF" w:sz="0"/>
              <w:left w:val="none" w:color="FFFFFF" w:sz="0"/>
              <w:bottom w:val="none" w:color="FFFFFF" w:sz="0"/>
              <w:right w:val="none" w:color="FFFFFF" w:sz="0"/>
            </w:tcBorders>
            <w:shd w:fill="F0F0FA"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Situación de las familias y cuidadores en los casos activos: sobrecarga de cuidado, aislamiento social, riesgos de salud mental, dificultades económicas.</w:t>
            </w:r>
          </w:p>
          <w:p>
            <w:pPr>
              <w:pStyle w:val="ListParagraph"/>
              <w:numPr>
                <w:ilvl w:val="0"/>
                <w:numId w:val="2"/>
              </w:numPr>
              <w:spacing w:after="20" w:before="20"/>
            </w:pPr>
            <w:r>
              <w:rPr>
                <w:rFonts w:ascii="Arial" w:cs="Arial" w:eastAsia="Arial" w:hAnsi="Arial"/>
                <w:color w:val="3D3D3D"/>
                <w:sz w:val="21"/>
                <w:szCs w:val="21"/>
              </w:rPr>
              <w:t xml:space="preserve">Identificación de niñas, niños o adolescentes que ejercen roles de cuidado principal — con perfil, riesgo y necesidad de protección.</w:t>
            </w:r>
          </w:p>
          <w:p>
            <w:pPr>
              <w:pStyle w:val="ListParagraph"/>
              <w:numPr>
                <w:ilvl w:val="0"/>
                <w:numId w:val="2"/>
              </w:numPr>
              <w:spacing w:after="20" w:before="20"/>
            </w:pPr>
            <w:r>
              <w:rPr>
                <w:rFonts w:ascii="Arial" w:cs="Arial" w:eastAsia="Arial" w:hAnsi="Arial"/>
                <w:color w:val="3D3D3D"/>
                <w:sz w:val="21"/>
                <w:szCs w:val="21"/>
              </w:rPr>
              <w:t xml:space="preserve">Necesidades de apoyos de proyección social para cuidadores: formación, inclusión laboral, acceso a programas de cuidado, respiro.</w:t>
            </w:r>
          </w:p>
          <w:p>
            <w:pPr>
              <w:pStyle w:val="ListParagraph"/>
              <w:numPr>
                <w:ilvl w:val="0"/>
                <w:numId w:val="2"/>
              </w:numPr>
              <w:spacing w:after="20" w:before="20"/>
            </w:pPr>
            <w:r>
              <w:rPr>
                <w:rFonts w:ascii="Arial" w:cs="Arial" w:eastAsia="Arial" w:hAnsi="Arial"/>
                <w:color w:val="3D3D3D"/>
                <w:sz w:val="21"/>
                <w:szCs w:val="21"/>
              </w:rPr>
              <w:t xml:space="preserve">Casos donde la carga de cuidado no remunerado está comprometiendo el bienestar de la cuidadora o impidiendo su participación educativa o laboral.</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80BD41"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Nivel 3 — Recomendaciones de acceso a servicios</w:t>
            </w:r>
          </w:p>
        </w:tc>
      </w:tr>
      <w:tr>
        <w:tc>
          <w:tcPr>
            <w:tcW w:type="dxa" w:w="9638"/>
            <w:tcBorders>
              <w:top w:val="none" w:color="FFFFFF" w:sz="0"/>
              <w:left w:val="none" w:color="FFFFFF" w:sz="0"/>
              <w:bottom w:val="none" w:color="FFFFFF" w:sz="0"/>
              <w:right w:val="none" w:color="FFFFFF" w:sz="0"/>
            </w:tcBorders>
            <w:shd w:fill="F0FAF0"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Recomendaciones específicas por sector: qué debe ajustar salud, qué debe ajustar educación, qué debe ajustar protección social, para que sus servicios sean accesibles a las personas con discapacidad en los casos activos.</w:t>
            </w:r>
          </w:p>
          <w:p>
            <w:pPr>
              <w:pStyle w:val="ListParagraph"/>
              <w:numPr>
                <w:ilvl w:val="0"/>
                <w:numId w:val="2"/>
              </w:numPr>
              <w:spacing w:after="20" w:before="20"/>
            </w:pPr>
            <w:r>
              <w:rPr>
                <w:rFonts w:ascii="Arial" w:cs="Arial" w:eastAsia="Arial" w:hAnsi="Arial"/>
                <w:color w:val="3D3D3D"/>
                <w:sz w:val="21"/>
                <w:szCs w:val="21"/>
              </w:rPr>
              <w:t xml:space="preserve">Solicitudes de gestión intersectorial: casos que requieren la activación conjunta de dos o más sectores para resolverse.</w:t>
            </w:r>
          </w:p>
          <w:p>
            <w:pPr>
              <w:pStyle w:val="ListParagraph"/>
              <w:numPr>
                <w:ilvl w:val="0"/>
                <w:numId w:val="2"/>
              </w:numPr>
              <w:spacing w:after="20" w:before="20"/>
            </w:pPr>
            <w:r>
              <w:rPr>
                <w:rFonts w:ascii="Arial" w:cs="Arial" w:eastAsia="Arial" w:hAnsi="Arial"/>
                <w:color w:val="3D3D3D"/>
                <w:sz w:val="21"/>
                <w:szCs w:val="21"/>
              </w:rPr>
              <w:t xml:space="preserve">Rutas que están funcionando bien y que merecen ser sistematizadas como buenas prácticas.</w:t>
            </w:r>
          </w:p>
          <w:p>
            <w:pPr>
              <w:pStyle w:val="ListParagraph"/>
              <w:numPr>
                <w:ilvl w:val="0"/>
                <w:numId w:val="2"/>
              </w:numPr>
              <w:spacing w:after="20" w:before="20"/>
            </w:pPr>
            <w:r>
              <w:rPr>
                <w:rFonts w:ascii="Arial" w:cs="Arial" w:eastAsia="Arial" w:hAnsi="Arial"/>
                <w:color w:val="3D3D3D"/>
                <w:sz w:val="21"/>
                <w:szCs w:val="21"/>
              </w:rPr>
              <w:t xml:space="preserve">Solicitudes de revisión de canastas y provisiones sectoriales: cuando la oferta estándar de un servicio no es suficiente o no es pertinente para las necesidades de las personas con discapacidad.</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F26A21"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Nivel 4 — Alertas de mejora continua de servicios inclusivos</w:t>
            </w:r>
          </w:p>
        </w:tc>
      </w:tr>
      <w:tr>
        <w:tc>
          <w:tcPr>
            <w:tcW w:type="dxa" w:w="9638"/>
            <w:tcBorders>
              <w:top w:val="none" w:color="FFFFFF" w:sz="0"/>
              <w:left w:val="none" w:color="FFFFFF" w:sz="0"/>
              <w:bottom w:val="none" w:color="FFFFFF" w:sz="0"/>
              <w:right w:val="none" w:color="FFFFFF" w:sz="0"/>
            </w:tcBorders>
            <w:shd w:fill="FEF5EE"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Alertas sobre barreras sistemáticas que se repiten en múltiples casos: señales de que el problema no es individual sino estructural.</w:t>
            </w:r>
          </w:p>
          <w:p>
            <w:pPr>
              <w:pStyle w:val="ListParagraph"/>
              <w:numPr>
                <w:ilvl w:val="0"/>
                <w:numId w:val="2"/>
              </w:numPr>
              <w:spacing w:after="20" w:before="20"/>
            </w:pPr>
            <w:r>
              <w:rPr>
                <w:rFonts w:ascii="Arial" w:cs="Arial" w:eastAsia="Arial" w:hAnsi="Arial"/>
                <w:color w:val="3D3D3D"/>
                <w:sz w:val="21"/>
                <w:szCs w:val="21"/>
              </w:rPr>
              <w:t xml:space="preserve">Alertas sobre servicios que no están respondiendo con los estándares de calidad, accesibilidad o oportunidad requeridos.</w:t>
            </w:r>
          </w:p>
          <w:p>
            <w:pPr>
              <w:pStyle w:val="ListParagraph"/>
              <w:numPr>
                <w:ilvl w:val="0"/>
                <w:numId w:val="2"/>
              </w:numPr>
              <w:spacing w:after="20" w:before="20"/>
            </w:pPr>
            <w:r>
              <w:rPr>
                <w:rFonts w:ascii="Arial" w:cs="Arial" w:eastAsia="Arial" w:hAnsi="Arial"/>
                <w:color w:val="3D3D3D"/>
                <w:sz w:val="21"/>
                <w:szCs w:val="21"/>
              </w:rPr>
              <w:t xml:space="preserve">Alertas sobre necesidades de servicios de cuidado que no existen en el municipio y que deberían crearse o gestionarse.</w:t>
            </w:r>
          </w:p>
          <w:p>
            <w:pPr>
              <w:pStyle w:val="ListParagraph"/>
              <w:numPr>
                <w:ilvl w:val="0"/>
                <w:numId w:val="2"/>
              </w:numPr>
              <w:spacing w:after="20" w:before="20"/>
            </w:pPr>
            <w:r>
              <w:rPr>
                <w:rFonts w:ascii="Arial" w:cs="Arial" w:eastAsia="Arial" w:hAnsi="Arial"/>
                <w:color w:val="3D3D3D"/>
                <w:sz w:val="21"/>
                <w:szCs w:val="21"/>
              </w:rPr>
              <w:t xml:space="preserve">Alertas sobre situaciones de vulneración de derechos que deben escalar a instancias de mayor jerarquía.</w:t>
            </w:r>
          </w:p>
        </w:tc>
      </w:tr>
    </w:tbl>
    <w:p>
      <w:pPr>
        <w:spacing w:after="0" w:before="100"/>
      </w:pPr>
    </w:p>
    <w:p>
      <w:pPr>
        <w:pStyle w:val="Heading2"/>
        <w:spacing w:after="80" w:before="220"/>
      </w:pPr>
      <w:r>
        <w:rPr>
          <w:rFonts w:ascii="Arial" w:cs="Arial" w:eastAsia="Arial" w:hAnsi="Arial"/>
          <w:b/>
          <w:bCs/>
          <w:color w:val="1CABE2"/>
          <w:sz w:val="26"/>
          <w:szCs w:val="26"/>
        </w:rPr>
        <w:t xml:space="preserve">3.2 Formato del reporte de gestores</w:t>
      </w:r>
    </w:p>
    <w:p>
      <w:pPr>
        <w:spacing w:after="60" w:before="60"/>
        <w:jc w:val="both"/>
      </w:pPr>
      <w:r>
        <w:rPr>
          <w:rFonts w:ascii="Arial" w:cs="Arial" w:eastAsia="Arial" w:hAnsi="Arial"/>
          <w:b w:val="false"/>
          <w:bCs w:val="false"/>
          <w:i w:val="false"/>
          <w:iCs w:val="false"/>
          <w:color w:val="3D3D3D"/>
          <w:sz w:val="22"/>
          <w:szCs w:val="22"/>
        </w:rPr>
        <w:t xml:space="preserve">El siguiente formato debe ser diligenciado por el equipo de gestores antes de cada sesión de la Mesa. Los datos individuales se presentan de forma anonimizada (código de caso, no nombre de la persona).</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469"/>
        <w:gridCol w:w="6169"/>
      </w:tblGrid>
      <w:tr>
        <w:tc>
          <w:tcPr>
            <w:tcW w:type="dxa" w:w="9638"/>
            <w:tcBorders>
              <w:top w:val="none" w:color="FFFFFF" w:sz="0"/>
              <w:left w:val="none" w:color="FFFFFF" w:sz="0"/>
              <w:bottom w:val="none" w:color="FFFFFF" w:sz="0"/>
              <w:right w:val="none" w:color="FFFFFF" w:sz="0"/>
            </w:tcBorders>
            <w:shd w:fill="374EA2"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FORMATO DE REPORTE DE GESTORES — Mesa de Soluciones Innovadoras</w:t>
            </w:r>
          </w:p>
        </w:tc>
      </w:tr>
      <w:tr>
        <w:tc>
          <w:tcPr>
            <w:tcW w:type="dxa" w:w="34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Período reportado</w:t>
            </w:r>
          </w:p>
        </w:tc>
        <w:tc>
          <w:tcPr>
            <w:tcW w:type="dxa" w:w="61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Fechas de inicio y cierre del período</w:t>
            </w:r>
          </w:p>
        </w:tc>
      </w:tr>
      <w:tr>
        <w:tc>
          <w:tcPr>
            <w:tcW w:type="dxa" w:w="34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Gestor o gestora que reporta</w:t>
            </w:r>
          </w:p>
        </w:tc>
        <w:tc>
          <w:tcPr>
            <w:tcW w:type="dxa" w:w="61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Nombre y dependencia</w:t>
            </w:r>
          </w:p>
        </w:tc>
      </w:tr>
      <w:tr>
        <w:tc>
          <w:tcPr>
            <w:tcW w:type="dxa" w:w="34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Casos activos en el período</w:t>
            </w:r>
          </w:p>
        </w:tc>
        <w:tc>
          <w:tcPr>
            <w:tcW w:type="dxa" w:w="61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Número total / nuevos ingresos / cierres</w:t>
            </w:r>
          </w:p>
        </w:tc>
      </w:tr>
      <w:tr>
        <w:tc>
          <w:tcPr>
            <w:tcW w:type="dxa" w:w="34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Casos que requieren decisión de la Mesa</w:t>
            </w:r>
          </w:p>
        </w:tc>
        <w:tc>
          <w:tcPr>
            <w:tcW w:type="dxa" w:w="61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Código de caso, perfil breve, barrera, necesidad (máx. 3 casos por gestor)</w:t>
            </w:r>
          </w:p>
        </w:tc>
      </w:tr>
      <w:tr>
        <w:tc>
          <w:tcPr>
            <w:tcW w:type="dxa" w:w="34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Principal barrera identificada en el período</w:t>
            </w:r>
          </w:p>
        </w:tc>
        <w:tc>
          <w:tcPr>
            <w:tcW w:type="dxa" w:w="61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Categoría: acceso a servicios / económica / actitudinal / información / movilidad / otra</w:t>
            </w:r>
          </w:p>
        </w:tc>
      </w:tr>
      <w:tr>
        <w:tc>
          <w:tcPr>
            <w:tcW w:type="dxa" w:w="34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Sector que más concentra las barreras</w:t>
            </w:r>
          </w:p>
        </w:tc>
        <w:tc>
          <w:tcPr>
            <w:tcW w:type="dxa" w:w="61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Salud / Educación / Protección social / Cuidado / Vivienda / Otro</w:t>
            </w:r>
          </w:p>
        </w:tc>
      </w:tr>
      <w:tr>
        <w:tc>
          <w:tcPr>
            <w:tcW w:type="dxa" w:w="34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Niñas o adolescentes en rol de cuidadora</w:t>
            </w:r>
          </w:p>
        </w:tc>
        <w:tc>
          <w:tcPr>
            <w:tcW w:type="dxa" w:w="61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Número de casos / nivel de riesgo / protección requerida</w:t>
            </w:r>
          </w:p>
        </w:tc>
      </w:tr>
      <w:tr>
        <w:tc>
          <w:tcPr>
            <w:tcW w:type="dxa" w:w="34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Cuidadores que necesitan apoyo de proyección social</w:t>
            </w:r>
          </w:p>
        </w:tc>
        <w:tc>
          <w:tcPr>
            <w:tcW w:type="dxa" w:w="61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Número de casos / tipo de apoyo: formación / empleo / respiro / salud mental</w:t>
            </w:r>
          </w:p>
        </w:tc>
      </w:tr>
      <w:tr>
        <w:tc>
          <w:tcPr>
            <w:tcW w:type="dxa" w:w="34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Alerta de mejora continua principal</w:t>
            </w:r>
          </w:p>
        </w:tc>
        <w:tc>
          <w:tcPr>
            <w:tcW w:type="dxa" w:w="61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Descripción en máximo tres líneas: qué está fallando y en qué sector</w:t>
            </w:r>
          </w:p>
        </w:tc>
      </w:tr>
      <w:tr>
        <w:tc>
          <w:tcPr>
            <w:tcW w:type="dxa" w:w="34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Logro o buena práctica del período</w:t>
            </w:r>
          </w:p>
        </w:tc>
        <w:tc>
          <w:tcPr>
            <w:tcW w:type="dxa" w:w="61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Descripción en máximo dos líneas: qué funcionó bien y por qué</w:t>
            </w:r>
          </w:p>
        </w:tc>
      </w:tr>
    </w:tbl>
    <w:p>
      <w:pPr>
        <w:spacing w:after="0" w:before="80"/>
      </w:pPr>
    </w:p>
    <w:p>
      <w:r>
        <w:br w:type="page"/>
      </w:r>
    </w:p>
    <w:p>
      <w:pPr>
        <w:pStyle w:val="Heading1"/>
        <w:spacing w:after="120" w:before="280"/>
      </w:pPr>
      <w:r>
        <w:rPr>
          <w:rFonts w:ascii="Arial" w:cs="Arial" w:eastAsia="Arial" w:hAnsi="Arial"/>
          <w:b/>
          <w:bCs/>
          <w:color w:val="00629B"/>
          <w:sz w:val="32"/>
          <w:szCs w:val="32"/>
        </w:rPr>
        <w:t xml:space="preserve">4. Funcionamiento de la sesión</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3D3D3D"/>
          <w:sz w:val="22"/>
          <w:szCs w:val="22"/>
        </w:rPr>
        <w:t xml:space="preserve">Cada sesión de la Mesa sigue una estructura fija de cinco momentos. La estructura garantiza que el tiempo disponible se use para decidir, no para informar. La información llega preparada en el reporte de gestores; la sesión es para analizar, deliberar y acordar.</w:t>
      </w:r>
    </w:p>
    <w:p>
      <w:pPr>
        <w:spacing w:after="0" w:before="60"/>
      </w:pPr>
    </w:p>
    <w:p>
      <w:pPr>
        <w:pStyle w:val="Heading2"/>
        <w:spacing w:after="80" w:before="220"/>
      </w:pPr>
      <w:r>
        <w:rPr>
          <w:rFonts w:ascii="Arial" w:cs="Arial" w:eastAsia="Arial" w:hAnsi="Arial"/>
          <w:b/>
          <w:bCs/>
          <w:color w:val="1CABE2"/>
          <w:sz w:val="26"/>
          <w:szCs w:val="26"/>
        </w:rPr>
        <w:t xml:space="preserve">4.1 Frecuencia y duración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469"/>
        <w:gridCol w:w="6169"/>
      </w:tblGrid>
      <w:tr>
        <w:tc>
          <w:tcPr>
            <w:tcW w:type="dxa" w:w="3469"/>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Frecuencia mínima recomendada</w:t>
            </w:r>
          </w:p>
        </w:tc>
        <w:tc>
          <w:tcPr>
            <w:tcW w:type="dxa" w:w="6169"/>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Mensual en la fase de implementación inicial (primeros seis meses); bimensual una vez el Modelo esté consolidado.</w:t>
            </w:r>
          </w:p>
        </w:tc>
      </w:tr>
      <w:tr>
        <w:tc>
          <w:tcPr>
            <w:tcW w:type="dxa" w:w="3469"/>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Duración de cada sesión</w:t>
            </w:r>
          </w:p>
        </w:tc>
        <w:tc>
          <w:tcPr>
            <w:tcW w:type="dxa" w:w="6169"/>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Dos horas. Las sesiones más largas pierden efectividad y dificultan la participación de todos los sectores.</w:t>
            </w:r>
          </w:p>
        </w:tc>
      </w:tr>
      <w:tr>
        <w:tc>
          <w:tcPr>
            <w:tcW w:type="dxa" w:w="3469"/>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Sesiones extraordinarias</w:t>
            </w:r>
          </w:p>
        </w:tc>
        <w:tc>
          <w:tcPr>
            <w:tcW w:type="dxa" w:w="6169"/>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Cuando se identifique una alerta de vulneración de derechos, un caso urgente o una barrera sistémica que requiera decisión inmediata.</w:t>
            </w:r>
          </w:p>
        </w:tc>
      </w:tr>
      <w:tr>
        <w:tc>
          <w:tcPr>
            <w:tcW w:type="dxa" w:w="3469"/>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Modalidad</w:t>
            </w:r>
          </w:p>
        </w:tc>
        <w:tc>
          <w:tcPr>
            <w:tcW w:type="dxa" w:w="6169"/>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Preferiblemente presencial en la sede de la entidad coordinadora del Modelo. Virtual solo como excepción justificada.</w:t>
            </w:r>
          </w:p>
        </w:tc>
      </w:tr>
    </w:tbl>
    <w:p>
      <w:pPr>
        <w:spacing w:after="0" w:before="100"/>
      </w:pPr>
    </w:p>
    <w:p>
      <w:pPr>
        <w:pStyle w:val="Heading2"/>
        <w:spacing w:after="80" w:before="220"/>
      </w:pPr>
      <w:r>
        <w:rPr>
          <w:rFonts w:ascii="Arial" w:cs="Arial" w:eastAsia="Arial" w:hAnsi="Arial"/>
          <w:b/>
          <w:bCs/>
          <w:color w:val="1CABE2"/>
          <w:sz w:val="26"/>
          <w:szCs w:val="26"/>
        </w:rPr>
        <w:t xml:space="preserve">4.2 Los cinco momentos de la sesión</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00"/>
        <w:gridCol w:w="8738"/>
      </w:tblGrid>
      <w:tr>
        <w:tc>
          <w:tcPr>
            <w:tcW w:type="dxa" w:w="900"/>
            <w:vMerge w:val="restart"/>
            <w:tcBorders>
              <w:top w:val="none" w:color="FFFFFF" w:sz="0"/>
              <w:left w:val="none" w:color="FFFFFF" w:sz="0"/>
              <w:bottom w:val="none" w:color="FFFFFF" w:sz="0"/>
              <w:right w:val="none" w:color="FFFFFF" w:sz="0"/>
            </w:tcBorders>
            <w:shd w:fill="00629B" w:val="clear"/>
            <w:tcMar>
              <w:top w:type="dxa" w:w="80"/>
              <w:left w:type="dxa" w:w="60"/>
              <w:bottom w:type="dxa" w:w="80"/>
              <w:right w:type="dxa" w:w="60"/>
            </w:tcMar>
            <w:vAlign w:val="center"/>
          </w:tcPr>
          <w:p>
            <w:pPr>
              <w:spacing w:after="20" w:before="0"/>
              <w:jc w:val="center"/>
            </w:pPr>
            <w:r>
              <w:rPr>
                <w:rFonts w:ascii="Arial" w:cs="Arial" w:eastAsia="Arial" w:hAnsi="Arial"/>
                <w:b/>
                <w:bCs/>
                <w:color w:val="FFFFFF"/>
                <w:sz w:val="44"/>
                <w:szCs w:val="44"/>
              </w:rPr>
              <w:t xml:space="preserve">M1</w:t>
            </w:r>
          </w:p>
          <w:p>
            <w:pPr>
              <w:spacing w:after="0" w:before="0"/>
              <w:jc w:val="center"/>
            </w:pPr>
            <w:r>
              <w:rPr>
                <w:rFonts w:ascii="Arial" w:cs="Arial" w:eastAsia="Arial" w:hAnsi="Arial"/>
                <w:b/>
                <w:bCs/>
                <w:color w:val="FFFFFF"/>
                <w:sz w:val="17"/>
                <w:szCs w:val="17"/>
              </w:rPr>
              <w:t xml:space="preserve">Apertura y verificación
(10 min)</w:t>
            </w:r>
          </w:p>
        </w:tc>
        <w:tc>
          <w:tcPr>
            <w:tcW w:type="dxa" w:w="8738"/>
            <w:tcBorders>
              <w:top w:val="none" w:color="FFFFFF" w:sz="0"/>
              <w:left w:val="none" w:color="FFFFFF" w:sz="0"/>
              <w:bottom w:val="none" w:color="FFFFFF" w:sz="0"/>
              <w:right w:val="none" w:color="FFFFFF" w:sz="0"/>
            </w:tcBorders>
            <w:shd w:fill="F5F5F5" w:val="clear"/>
            <w:tcMar>
              <w:top w:type="dxa" w:w="60"/>
              <w:left w:type="dxa" w:w="120"/>
              <w:bottom w:type="dxa" w:w="1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El coordinador o coordinadora abre la sesión, verifica el quórum del núcleo permanente y recuerda el propósito de la Mesa.</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Se presenta brevemente el orden del día basado en el reporte consolidado de gestores.</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Se verifica si hay compromisos pendientes de la sesión anterior y su estado de cumplimiento.</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00"/>
        <w:gridCol w:w="8738"/>
      </w:tblGrid>
      <w:tr>
        <w:tc>
          <w:tcPr>
            <w:tcW w:type="dxa" w:w="900"/>
            <w:vMerge w:val="restart"/>
            <w:tcBorders>
              <w:top w:val="none" w:color="FFFFFF" w:sz="0"/>
              <w:left w:val="none" w:color="FFFFFF" w:sz="0"/>
              <w:bottom w:val="none" w:color="FFFFFF" w:sz="0"/>
              <w:right w:val="none" w:color="FFFFFF" w:sz="0"/>
            </w:tcBorders>
            <w:shd w:fill="1CABE2" w:val="clear"/>
            <w:tcMar>
              <w:top w:type="dxa" w:w="80"/>
              <w:left w:type="dxa" w:w="60"/>
              <w:bottom w:type="dxa" w:w="80"/>
              <w:right w:type="dxa" w:w="60"/>
            </w:tcMar>
            <w:vAlign w:val="center"/>
          </w:tcPr>
          <w:p>
            <w:pPr>
              <w:spacing w:after="20" w:before="0"/>
              <w:jc w:val="center"/>
            </w:pPr>
            <w:r>
              <w:rPr>
                <w:rFonts w:ascii="Arial" w:cs="Arial" w:eastAsia="Arial" w:hAnsi="Arial"/>
                <w:b/>
                <w:bCs/>
                <w:color w:val="FFFFFF"/>
                <w:sz w:val="44"/>
                <w:szCs w:val="44"/>
              </w:rPr>
              <w:t xml:space="preserve">M2</w:t>
            </w:r>
          </w:p>
          <w:p>
            <w:pPr>
              <w:spacing w:after="0" w:before="0"/>
              <w:jc w:val="center"/>
            </w:pPr>
            <w:r>
              <w:rPr>
                <w:rFonts w:ascii="Arial" w:cs="Arial" w:eastAsia="Arial" w:hAnsi="Arial"/>
                <w:b/>
                <w:bCs/>
                <w:color w:val="FFFFFF"/>
                <w:sz w:val="17"/>
                <w:szCs w:val="17"/>
              </w:rPr>
              <w:t xml:space="preserve">Reporte consolidado de gestores
(25 min)</w:t>
            </w:r>
          </w:p>
        </w:tc>
        <w:tc>
          <w:tcPr>
            <w:tcW w:type="dxa" w:w="8738"/>
            <w:tcBorders>
              <w:top w:val="none" w:color="FFFFFF" w:sz="0"/>
              <w:left w:val="none" w:color="FFFFFF" w:sz="0"/>
              <w:bottom w:val="none" w:color="FFFFFF" w:sz="0"/>
              <w:right w:val="none" w:color="FFFFFF" w:sz="0"/>
            </w:tcBorders>
            <w:shd w:fill="F5F5F5" w:val="clear"/>
            <w:tcMar>
              <w:top w:type="dxa" w:w="60"/>
              <w:left w:type="dxa" w:w="120"/>
              <w:bottom w:type="dxa" w:w="1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El equipo de gestores presenta el reporte del período en los cuatro niveles: casos individuales urgentes, situación de familias y cuidadores, recomendaciones sectoriales y alertas.</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La presentación es concisa: datos, no narrativas. Se usan los formatos de reporte.</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La Mesa escucha sin interrumpir. Las preguntas se reservan para el momento de deliberación.</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Se priorizan para la deliberación los casos más urgentes y las alertas más graves (máximo tres por sesión).</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00"/>
        <w:gridCol w:w="8738"/>
      </w:tblGrid>
      <w:tr>
        <w:tc>
          <w:tcPr>
            <w:tcW w:type="dxa" w:w="900"/>
            <w:vMerge w:val="restart"/>
            <w:tcBorders>
              <w:top w:val="none" w:color="FFFFFF" w:sz="0"/>
              <w:left w:val="none" w:color="FFFFFF" w:sz="0"/>
              <w:bottom w:val="none" w:color="FFFFFF" w:sz="0"/>
              <w:right w:val="none" w:color="FFFFFF" w:sz="0"/>
            </w:tcBorders>
            <w:shd w:fill="374EA2" w:val="clear"/>
            <w:tcMar>
              <w:top w:type="dxa" w:w="80"/>
              <w:left w:type="dxa" w:w="60"/>
              <w:bottom w:type="dxa" w:w="80"/>
              <w:right w:type="dxa" w:w="60"/>
            </w:tcMar>
            <w:vAlign w:val="center"/>
          </w:tcPr>
          <w:p>
            <w:pPr>
              <w:spacing w:after="20" w:before="0"/>
              <w:jc w:val="center"/>
            </w:pPr>
            <w:r>
              <w:rPr>
                <w:rFonts w:ascii="Arial" w:cs="Arial" w:eastAsia="Arial" w:hAnsi="Arial"/>
                <w:b/>
                <w:bCs/>
                <w:color w:val="FFFFFF"/>
                <w:sz w:val="44"/>
                <w:szCs w:val="44"/>
              </w:rPr>
              <w:t xml:space="preserve">M3</w:t>
            </w:r>
          </w:p>
          <w:p>
            <w:pPr>
              <w:spacing w:after="0" w:before="0"/>
              <w:jc w:val="center"/>
            </w:pPr>
            <w:r>
              <w:rPr>
                <w:rFonts w:ascii="Arial" w:cs="Arial" w:eastAsia="Arial" w:hAnsi="Arial"/>
                <w:b/>
                <w:bCs/>
                <w:color w:val="FFFFFF"/>
                <w:sz w:val="17"/>
                <w:szCs w:val="17"/>
              </w:rPr>
              <w:t xml:space="preserve">Deliberación y construcción de soluciones
(50 min)</w:t>
            </w:r>
          </w:p>
        </w:tc>
        <w:tc>
          <w:tcPr>
            <w:tcW w:type="dxa" w:w="8738"/>
            <w:tcBorders>
              <w:top w:val="none" w:color="FFFFFF" w:sz="0"/>
              <w:left w:val="none" w:color="FFFFFF" w:sz="0"/>
              <w:bottom w:val="none" w:color="FFFFFF" w:sz="0"/>
              <w:right w:val="none" w:color="FFFFFF" w:sz="0"/>
            </w:tcBorders>
            <w:shd w:fill="F5F5F5" w:val="clear"/>
            <w:tcMar>
              <w:top w:type="dxa" w:w="60"/>
              <w:left w:type="dxa" w:w="120"/>
              <w:bottom w:type="dxa" w:w="1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Para cada caso o barrera priorizada, la Mesa analiza colectivamente: ¿qué sector tiene la responsabilidad principal?, ¿qué recursos o competencias se necesitan de otros sectores?, ¿qué puede hacer cada quien en el corto, mediano y largo plazo?</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El análisis no se queda en el caso individual: la Mesa identifica si la barrera es estructural y si la solución debe ser sistémica.</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Se acuerdan soluciones concretas, provisiones de apoyo específicas, mejoras en la canasta de servicios o activación de rutas intersectoriales.</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Cuando se identifica una situación que involucra niñas o adolescentes cuidadoras, la Mesa activa inmediatamente la ruta de protección.</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Se documenta cada decisión con: descripción de la solución, sector o entidad responsable, plazo de ejecución y indicador de cumplimiento.</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00"/>
        <w:gridCol w:w="8738"/>
      </w:tblGrid>
      <w:tr>
        <w:tc>
          <w:tcPr>
            <w:tcW w:type="dxa" w:w="900"/>
            <w:vMerge w:val="restart"/>
            <w:tcBorders>
              <w:top w:val="none" w:color="FFFFFF" w:sz="0"/>
              <w:left w:val="none" w:color="FFFFFF" w:sz="0"/>
              <w:bottom w:val="none" w:color="FFFFFF" w:sz="0"/>
              <w:right w:val="none" w:color="FFFFFF" w:sz="0"/>
            </w:tcBorders>
            <w:shd w:fill="F26A21" w:val="clear"/>
            <w:tcMar>
              <w:top w:type="dxa" w:w="80"/>
              <w:left w:type="dxa" w:w="60"/>
              <w:bottom w:type="dxa" w:w="80"/>
              <w:right w:type="dxa" w:w="60"/>
            </w:tcMar>
            <w:vAlign w:val="center"/>
          </w:tcPr>
          <w:p>
            <w:pPr>
              <w:spacing w:after="20" w:before="0"/>
              <w:jc w:val="center"/>
            </w:pPr>
            <w:r>
              <w:rPr>
                <w:rFonts w:ascii="Arial" w:cs="Arial" w:eastAsia="Arial" w:hAnsi="Arial"/>
                <w:b/>
                <w:bCs/>
                <w:color w:val="FFFFFF"/>
                <w:sz w:val="44"/>
                <w:szCs w:val="44"/>
              </w:rPr>
              <w:t xml:space="preserve">M4</w:t>
            </w:r>
          </w:p>
          <w:p>
            <w:pPr>
              <w:spacing w:after="0" w:before="0"/>
              <w:jc w:val="center"/>
            </w:pPr>
            <w:r>
              <w:rPr>
                <w:rFonts w:ascii="Arial" w:cs="Arial" w:eastAsia="Arial" w:hAnsi="Arial"/>
                <w:b/>
                <w:bCs/>
                <w:color w:val="FFFFFF"/>
                <w:sz w:val="17"/>
                <w:szCs w:val="17"/>
              </w:rPr>
              <w:t xml:space="preserve">Alertas de mejora continua
(20 min)</w:t>
            </w:r>
          </w:p>
        </w:tc>
        <w:tc>
          <w:tcPr>
            <w:tcW w:type="dxa" w:w="8738"/>
            <w:tcBorders>
              <w:top w:val="none" w:color="FFFFFF" w:sz="0"/>
              <w:left w:val="none" w:color="FFFFFF" w:sz="0"/>
              <w:bottom w:val="none" w:color="FFFFFF" w:sz="0"/>
              <w:right w:val="none" w:color="FFFFFF" w:sz="0"/>
            </w:tcBorders>
            <w:shd w:fill="F5F5F5" w:val="clear"/>
            <w:tcMar>
              <w:top w:type="dxa" w:w="60"/>
              <w:left w:type="dxa" w:w="120"/>
              <w:bottom w:type="dxa" w:w="1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Se revisan las alertas del nivel 4 del reporte que no corresponden a casos individuales sino a fallas estructurales del sistema de servicios.</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La Mesa decide si la alerta puede resolverse en el nivel municipal o debe escalar a la Mesa intersectorial de gobernanza o a instancias departamentales o nacionales.</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Se acuerda quién hace el seguimiento de cada alerta y en qué plazo se espera una respuesta.</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Se registran las alertas en el Tablero de mejora continua de servicios inclusivos (ver Sección 5).</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00"/>
        <w:gridCol w:w="8738"/>
      </w:tblGrid>
      <w:tr>
        <w:tc>
          <w:tcPr>
            <w:tcW w:type="dxa" w:w="900"/>
            <w:vMerge w:val="restart"/>
            <w:tcBorders>
              <w:top w:val="none" w:color="FFFFFF" w:sz="0"/>
              <w:left w:val="none" w:color="FFFFFF" w:sz="0"/>
              <w:bottom w:val="none" w:color="FFFFFF" w:sz="0"/>
              <w:right w:val="none" w:color="FFFFFF" w:sz="0"/>
            </w:tcBorders>
            <w:shd w:fill="80BD41" w:val="clear"/>
            <w:tcMar>
              <w:top w:type="dxa" w:w="80"/>
              <w:left w:type="dxa" w:w="60"/>
              <w:bottom w:type="dxa" w:w="80"/>
              <w:right w:type="dxa" w:w="60"/>
            </w:tcMar>
            <w:vAlign w:val="center"/>
          </w:tcPr>
          <w:p>
            <w:pPr>
              <w:spacing w:after="20" w:before="0"/>
              <w:jc w:val="center"/>
            </w:pPr>
            <w:r>
              <w:rPr>
                <w:rFonts w:ascii="Arial" w:cs="Arial" w:eastAsia="Arial" w:hAnsi="Arial"/>
                <w:b/>
                <w:bCs/>
                <w:color w:val="FFFFFF"/>
                <w:sz w:val="44"/>
                <w:szCs w:val="44"/>
              </w:rPr>
              <w:t xml:space="preserve">M5</w:t>
            </w:r>
          </w:p>
          <w:p>
            <w:pPr>
              <w:spacing w:after="0" w:before="0"/>
              <w:jc w:val="center"/>
            </w:pPr>
            <w:r>
              <w:rPr>
                <w:rFonts w:ascii="Arial" w:cs="Arial" w:eastAsia="Arial" w:hAnsi="Arial"/>
                <w:b/>
                <w:bCs/>
                <w:color w:val="FFFFFF"/>
                <w:sz w:val="17"/>
                <w:szCs w:val="17"/>
              </w:rPr>
              <w:t xml:space="preserve">Decisiones y compromisos
(15 min)</w:t>
            </w:r>
          </w:p>
        </w:tc>
        <w:tc>
          <w:tcPr>
            <w:tcW w:type="dxa" w:w="8738"/>
            <w:tcBorders>
              <w:top w:val="none" w:color="FFFFFF" w:sz="0"/>
              <w:left w:val="none" w:color="FFFFFF" w:sz="0"/>
              <w:bottom w:val="none" w:color="FFFFFF" w:sz="0"/>
              <w:right w:val="none" w:color="FFFFFF" w:sz="0"/>
            </w:tcBorders>
            <w:shd w:fill="F5F5F5" w:val="clear"/>
            <w:tcMar>
              <w:top w:type="dxa" w:w="60"/>
              <w:left w:type="dxa" w:w="120"/>
              <w:bottom w:type="dxa" w:w="1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El coordinador o coordinadora hace lectura de todas las decisiones y compromisos acordados en la sesión.</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Cada integrante confirma los compromisos adquiridos: acción, plazo y forma de reporte.</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Se fija la fecha de la próxima sesión y los temas que ya están identificados para la agenda.</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El acta de la sesión se circula dentro de las 48 horas siguientes por escrito a todos los integrantes.</w:t>
            </w:r>
          </w:p>
        </w:tc>
      </w:tr>
    </w:tbl>
    <w:p>
      <w:pPr>
        <w:spacing w:after="0" w:before="100"/>
      </w:pPr>
    </w:p>
    <w:p>
      <w:r>
        <w:br w:type="page"/>
      </w:r>
    </w:p>
    <w:p>
      <w:pPr>
        <w:pStyle w:val="Heading1"/>
        <w:spacing w:after="120" w:before="280"/>
      </w:pPr>
      <w:r>
        <w:rPr>
          <w:rFonts w:ascii="Arial" w:cs="Arial" w:eastAsia="Arial" w:hAnsi="Arial"/>
          <w:b/>
          <w:bCs/>
          <w:color w:val="00629B"/>
          <w:sz w:val="32"/>
          <w:szCs w:val="32"/>
        </w:rPr>
        <w:t xml:space="preserve">5. Tipos de decisiones y soluciones que genera la Mesa</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3D3D3D"/>
          <w:sz w:val="22"/>
          <w:szCs w:val="22"/>
        </w:rPr>
        <w:t xml:space="preserve">Las decisiones de la Mesa se organizan en cinco categorías según su naturaleza. No todas las decisiones corresponden a todas las sesiones: la Mesa selecciona las más pertinentes según el reporte del período.</w:t>
      </w:r>
    </w:p>
    <w:p>
      <w:pPr>
        <w:spacing w:after="0" w:before="60"/>
      </w:pPr>
    </w:p>
    <w:p>
      <w:pPr>
        <w:pStyle w:val="Heading2"/>
        <w:spacing w:after="80" w:before="220"/>
      </w:pPr>
      <w:r>
        <w:rPr>
          <w:rFonts w:ascii="Arial" w:cs="Arial" w:eastAsia="Arial" w:hAnsi="Arial"/>
          <w:b/>
          <w:bCs/>
          <w:color w:val="1CABE2"/>
          <w:sz w:val="26"/>
          <w:szCs w:val="26"/>
        </w:rPr>
        <w:t xml:space="preserve">5.1 Soluciones de provisión de apoyo individual y familiar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c>
          <w:tcPr>
            <w:tcW w:type="dxa" w:w="3662"/>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Tipo de solución</w:t>
            </w:r>
          </w:p>
        </w:tc>
        <w:tc>
          <w:tcPr>
            <w:tcW w:type="dxa" w:w="5976"/>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Cuándo se activa</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Asignación de asistencia personal o apoyo para la vida independiente</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Cuando el caso reporta que la persona con discapacidad no tiene apoyo para las actividades de la vida diaria y esto limita su participación social o educativa.</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Activación de servicio de respiro o relevo para cuidador</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Cuando la carga de cuidado de la persona cuidadora principal es insostenible y existe riesgo de abandono o de deterioro de su salud.</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Dotación de tecnología de asistencia</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Cuando el caso reporta que la persona requiere un dispositivo o herramienta de apoyo (silla de ruedas, audífono, comunicador, entre otros) y no ha podido acceder a él.</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Apoyo psicosocial para familia o cuidador</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Cuando el reporte identifica situaciones de sobrecarga emocional, aislamiento o riesgo de salud mental en la familia o cuidador.</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Vinculación a programa de cuidado o apoyo a la familia</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Cuando existe un programa municipal, departamental o nacional disponible al que la familia o cuidador es elegible pero no ha sido vinculado.</w:t>
            </w:r>
          </w:p>
        </w:tc>
      </w:tr>
    </w:tbl>
    <w:p>
      <w:pPr>
        <w:spacing w:after="0" w:before="100"/>
      </w:pPr>
    </w:p>
    <w:p>
      <w:pPr>
        <w:pStyle w:val="Heading2"/>
        <w:spacing w:after="80" w:before="220"/>
      </w:pPr>
      <w:r>
        <w:rPr>
          <w:rFonts w:ascii="Arial" w:cs="Arial" w:eastAsia="Arial" w:hAnsi="Arial"/>
          <w:b/>
          <w:bCs/>
          <w:color w:val="1CABE2"/>
          <w:sz w:val="26"/>
          <w:szCs w:val="26"/>
        </w:rPr>
        <w:t xml:space="preserve">5.2 Mejoras en servicios inclusivos sectoriales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c>
          <w:tcPr>
            <w:tcW w:type="dxa" w:w="3662"/>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Tipo de mejora</w:t>
            </w:r>
          </w:p>
        </w:tc>
        <w:tc>
          <w:tcPr>
            <w:tcW w:type="dxa" w:w="5976"/>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Cuándo se activa</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Ajuste en protocolo de atención en salud</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Cuando el reporte identifica que el servicio de salud no está siguiendo estándares de accesibilidad o trato digno para personas con discapacidad.</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Activación de ajuste razonable en establecimiento educativo</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Cuando el gestor reporta que un niño, niña o adolescente con discapacidad no está recibiendo los apoyos pedagógicos que requiere.</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Mejora en la canasta de servicios de protección social</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Cuando los programas sociales disponibles no responden a las necesidades específicas de las personas con discapacidad y sus familias.</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Creación o ajuste de ruta de referencia entre sectores</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Cuando el reporte muestra que los casos se pierden entre sectores porque no hay una ruta clara de derivación y seguimiento.</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Capacitación del personal de un servicio</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Cuando se identifican barreras actitudinales o de conocimiento en el personal de un servicio que impiden la inclusión.</w:t>
            </w:r>
          </w:p>
        </w:tc>
      </w:tr>
    </w:tbl>
    <w:p>
      <w:pPr>
        <w:spacing w:after="0" w:before="100"/>
      </w:pPr>
    </w:p>
    <w:p>
      <w:pPr>
        <w:pStyle w:val="Heading2"/>
        <w:spacing w:after="80" w:before="220"/>
      </w:pPr>
      <w:r>
        <w:rPr>
          <w:rFonts w:ascii="Arial" w:cs="Arial" w:eastAsia="Arial" w:hAnsi="Arial"/>
          <w:b/>
          <w:bCs/>
          <w:color w:val="1CABE2"/>
          <w:sz w:val="26"/>
          <w:szCs w:val="26"/>
        </w:rPr>
        <w:t xml:space="preserve">5.3 Apoyos de proyección social para cuidadores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007B8A"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Decisiones para reducir la carga de cuidado y promover la autonomía de cuidadores</w:t>
            </w:r>
          </w:p>
        </w:tc>
      </w:tr>
      <w:tr>
        <w:tc>
          <w:tcPr>
            <w:tcW w:type="dxa" w:w="9638"/>
            <w:tcBorders>
              <w:top w:val="none" w:color="FFFFFF" w:sz="0"/>
              <w:left w:val="none" w:color="FFFFFF" w:sz="0"/>
              <w:bottom w:val="none" w:color="FFFFFF" w:sz="0"/>
              <w:right w:val="none" w:color="FFFFFF" w:sz="0"/>
            </w:tcBorders>
            <w:shd w:fill="E6F4F6"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Vinculación a programas de formación para el trabajo y el desarrollo humano del Servicio Nacional de Aprendizaje u operadores locales.</w:t>
            </w:r>
          </w:p>
          <w:p>
            <w:pPr>
              <w:pStyle w:val="ListParagraph"/>
              <w:numPr>
                <w:ilvl w:val="0"/>
                <w:numId w:val="2"/>
              </w:numPr>
              <w:spacing w:after="20" w:before="20"/>
            </w:pPr>
            <w:r>
              <w:rPr>
                <w:rFonts w:ascii="Arial" w:cs="Arial" w:eastAsia="Arial" w:hAnsi="Arial"/>
                <w:color w:val="3D3D3D"/>
                <w:sz w:val="21"/>
                <w:szCs w:val="21"/>
              </w:rPr>
              <w:t xml:space="preserve">Articulación con el sector privado o con cooperativas locales para acceso a empleo inclusivo y flexible que sea compatible con el rol de cuidado.</w:t>
            </w:r>
          </w:p>
          <w:p>
            <w:pPr>
              <w:pStyle w:val="ListParagraph"/>
              <w:numPr>
                <w:ilvl w:val="0"/>
                <w:numId w:val="2"/>
              </w:numPr>
              <w:spacing w:after="20" w:before="20"/>
            </w:pPr>
            <w:r>
              <w:rPr>
                <w:rFonts w:ascii="Arial" w:cs="Arial" w:eastAsia="Arial" w:hAnsi="Arial"/>
                <w:color w:val="3D3D3D"/>
                <w:sz w:val="21"/>
                <w:szCs w:val="21"/>
              </w:rPr>
              <w:t xml:space="preserve">Vinculación a grupos de apoyo mutuo entre cuidadores, redes comunitarias de cuidado o programas de bienestar psicosocial.</w:t>
            </w:r>
          </w:p>
          <w:p>
            <w:pPr>
              <w:pStyle w:val="ListParagraph"/>
              <w:numPr>
                <w:ilvl w:val="0"/>
                <w:numId w:val="2"/>
              </w:numPr>
              <w:spacing w:after="20" w:before="20"/>
            </w:pPr>
            <w:r>
              <w:rPr>
                <w:rFonts w:ascii="Arial" w:cs="Arial" w:eastAsia="Arial" w:hAnsi="Arial"/>
                <w:color w:val="3D3D3D"/>
                <w:sz w:val="21"/>
                <w:szCs w:val="21"/>
              </w:rPr>
              <w:t xml:space="preserve">Gestión de transferencias o subsidios adicionales disponibles para familias con cuidado de personas con discapacidad.</w:t>
            </w:r>
          </w:p>
          <w:p>
            <w:pPr>
              <w:pStyle w:val="ListParagraph"/>
              <w:numPr>
                <w:ilvl w:val="0"/>
                <w:numId w:val="2"/>
              </w:numPr>
              <w:spacing w:after="20" w:before="20"/>
            </w:pPr>
            <w:r>
              <w:rPr>
                <w:rFonts w:ascii="Arial" w:cs="Arial" w:eastAsia="Arial" w:hAnsi="Arial"/>
                <w:color w:val="3D3D3D"/>
                <w:sz w:val="21"/>
                <w:szCs w:val="21"/>
              </w:rPr>
              <w:t xml:space="preserve">Activación de la ruta de corresponsabilidad del cuidado: cuando el cuidado está concentrado en una sola persona (especialmente niñas o adolescentes), la Mesa decide cómo redistribuirlo.</w:t>
            </w:r>
          </w:p>
        </w:tc>
      </w:tr>
    </w:tbl>
    <w:p>
      <w:pPr>
        <w:spacing w:after="0" w:before="100"/>
      </w:pPr>
    </w:p>
    <w:p>
      <w:pPr>
        <w:pStyle w:val="Heading2"/>
        <w:spacing w:after="80" w:before="220"/>
      </w:pPr>
      <w:r>
        <w:rPr>
          <w:rFonts w:ascii="Arial" w:cs="Arial" w:eastAsia="Arial" w:hAnsi="Arial"/>
          <w:b/>
          <w:bCs/>
          <w:color w:val="1CABE2"/>
          <w:sz w:val="26"/>
          <w:szCs w:val="26"/>
        </w:rPr>
        <w:t xml:space="preserve">5.4 Protección de niñas y adolescentes cuidadoras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E2231A"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Protocolo de decisión cuando se identifica una niña o adolescente cuidadora</w:t>
            </w:r>
          </w:p>
        </w:tc>
      </w:tr>
      <w:tr>
        <w:tc>
          <w:tcPr>
            <w:tcW w:type="dxa" w:w="9638"/>
            <w:tcBorders>
              <w:top w:val="none" w:color="FFFFFF" w:sz="0"/>
              <w:left w:val="none" w:color="FFFFFF" w:sz="0"/>
              <w:bottom w:val="none" w:color="FFFFFF" w:sz="0"/>
              <w:right w:val="none" w:color="FFFFFF" w:sz="0"/>
            </w:tcBorders>
            <w:shd w:fill="FEF0F0"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El gestor reporta el caso con el perfil de riesgo: edad, tipo de cuidado que ejerce, impacto en su escolarización, salud o participación.</w:t>
            </w:r>
          </w:p>
          <w:p>
            <w:pPr>
              <w:pStyle w:val="ListParagraph"/>
              <w:numPr>
                <w:ilvl w:val="0"/>
                <w:numId w:val="2"/>
              </w:numPr>
              <w:spacing w:after="20" w:before="20"/>
            </w:pPr>
            <w:r>
              <w:rPr>
                <w:rFonts w:ascii="Arial" w:cs="Arial" w:eastAsia="Arial" w:hAnsi="Arial"/>
                <w:color w:val="3D3D3D"/>
                <w:sz w:val="21"/>
                <w:szCs w:val="21"/>
              </w:rPr>
              <w:t xml:space="preserve">La Mesa activa de inmediato la ruta de protección con la Comisaría de Familia o la Defensoría de Familia del Instituto Colombiano de Bienestar Familiar.</w:t>
            </w:r>
          </w:p>
          <w:p>
            <w:pPr>
              <w:pStyle w:val="ListParagraph"/>
              <w:numPr>
                <w:ilvl w:val="0"/>
                <w:numId w:val="2"/>
              </w:numPr>
              <w:spacing w:after="20" w:before="20"/>
            </w:pPr>
            <w:r>
              <w:rPr>
                <w:rFonts w:ascii="Arial" w:cs="Arial" w:eastAsia="Arial" w:hAnsi="Arial"/>
                <w:color w:val="3D3D3D"/>
                <w:sz w:val="21"/>
                <w:szCs w:val="21"/>
              </w:rPr>
              <w:t xml:space="preserve">Simultáneamente, el referente de educación verifica la situación escolar de la niña o adolescente y activa los apoyos necesarios para su permanencia.</w:t>
            </w:r>
          </w:p>
          <w:p>
            <w:pPr>
              <w:pStyle w:val="ListParagraph"/>
              <w:numPr>
                <w:ilvl w:val="0"/>
                <w:numId w:val="2"/>
              </w:numPr>
              <w:spacing w:after="20" w:before="20"/>
            </w:pPr>
            <w:r>
              <w:rPr>
                <w:rFonts w:ascii="Arial" w:cs="Arial" w:eastAsia="Arial" w:hAnsi="Arial"/>
                <w:color w:val="3D3D3D"/>
                <w:sz w:val="21"/>
                <w:szCs w:val="21"/>
              </w:rPr>
              <w:t xml:space="preserve">El referente de género garantiza que la decisión incorpore el enfoque diferencial y que no se criminalice a la familia.</w:t>
            </w:r>
          </w:p>
          <w:p>
            <w:pPr>
              <w:pStyle w:val="ListParagraph"/>
              <w:numPr>
                <w:ilvl w:val="0"/>
                <w:numId w:val="2"/>
              </w:numPr>
              <w:spacing w:after="20" w:before="20"/>
            </w:pPr>
            <w:r>
              <w:rPr>
                <w:rFonts w:ascii="Arial" w:cs="Arial" w:eastAsia="Arial" w:hAnsi="Arial"/>
                <w:color w:val="3D3D3D"/>
                <w:sz w:val="21"/>
                <w:szCs w:val="21"/>
              </w:rPr>
              <w:t xml:space="preserve">La Mesa hace seguimiento mensual a estos casos hasta que el riesgo esté mitigado.</w:t>
            </w:r>
          </w:p>
        </w:tc>
      </w:tr>
    </w:tbl>
    <w:p>
      <w:pPr>
        <w:spacing w:after="0" w:before="100"/>
      </w:pPr>
    </w:p>
    <w:p>
      <w:pPr>
        <w:pStyle w:val="Heading2"/>
        <w:spacing w:after="80" w:before="220"/>
      </w:pPr>
      <w:r>
        <w:rPr>
          <w:rFonts w:ascii="Arial" w:cs="Arial" w:eastAsia="Arial" w:hAnsi="Arial"/>
          <w:b/>
          <w:bCs/>
          <w:color w:val="1CABE2"/>
          <w:sz w:val="26"/>
          <w:szCs w:val="26"/>
        </w:rPr>
        <w:t xml:space="preserve">5.5 Alertas y escalamiento intersectorial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373"/>
        <w:gridCol w:w="6265"/>
      </w:tblGrid>
      <w:tr>
        <w:tc>
          <w:tcPr>
            <w:tcW w:type="dxa" w:w="3373"/>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Tipo de alerta</w:t>
            </w:r>
          </w:p>
        </w:tc>
        <w:tc>
          <w:tcPr>
            <w:tcW w:type="dxa" w:w="6265"/>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Mecanismo de respuesta</w:t>
            </w:r>
          </w:p>
        </w:tc>
      </w:tr>
      <w:tr>
        <w:tc>
          <w:tcPr>
            <w:tcW w:type="dxa" w:w="337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Alerta de nivel municipal (la Mesa puede resolver)</w:t>
            </w:r>
          </w:p>
        </w:tc>
        <w:tc>
          <w:tcPr>
            <w:tcW w:type="dxa" w:w="626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Barrera en un servicio específico que el referente sectorial puede corregir con una instrucción operativa o una capacitación. La Mesa asigna la responsabilidad y el plazo.</w:t>
            </w:r>
          </w:p>
        </w:tc>
      </w:tr>
      <w:tr>
        <w:tc>
          <w:tcPr>
            <w:tcW w:type="dxa" w:w="3373"/>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Alerta que escala a la Mesa intersectorial de gobernanza</w:t>
            </w:r>
          </w:p>
        </w:tc>
        <w:tc>
          <w:tcPr>
            <w:tcW w:type="dxa" w:w="6265"/>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Barrera estructural que requiere decisión política, asignación de recursos presupuestales o ajuste en política pública local.</w:t>
            </w:r>
          </w:p>
        </w:tc>
      </w:tr>
      <w:tr>
        <w:tc>
          <w:tcPr>
            <w:tcW w:type="dxa" w:w="337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Alerta que escala al nivel departamental</w:t>
            </w:r>
          </w:p>
        </w:tc>
        <w:tc>
          <w:tcPr>
            <w:tcW w:type="dxa" w:w="626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Servicio que no existe en el municipio y debe ser gestionado ante la gobernación: transporte especializado, centro de día, red de rehabilitación.</w:t>
            </w:r>
          </w:p>
        </w:tc>
      </w:tr>
      <w:tr>
        <w:tc>
          <w:tcPr>
            <w:tcW w:type="dxa" w:w="3373"/>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Alerta que escala al nivel nacional</w:t>
            </w:r>
          </w:p>
        </w:tc>
        <w:tc>
          <w:tcPr>
            <w:tcW w:type="dxa" w:w="6265"/>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Falla en un programa nacional (Instituto Colombiano de Bienestar Familiar, Ministerio de Salud, etc.) que afecta sistemáticamente a múltiples casos. Se documenta y se comunica a través del asesor territorial de UNICEF.</w:t>
            </w:r>
          </w:p>
        </w:tc>
      </w:tr>
    </w:tbl>
    <w:p>
      <w:pPr>
        <w:spacing w:after="0" w:before="80"/>
      </w:pPr>
    </w:p>
    <w:p>
      <w:r>
        <w:br w:type="page"/>
      </w:r>
    </w:p>
    <w:p>
      <w:pPr>
        <w:pStyle w:val="Heading1"/>
        <w:spacing w:after="120" w:before="280"/>
      </w:pPr>
      <w:r>
        <w:rPr>
          <w:rFonts w:ascii="Arial" w:cs="Arial" w:eastAsia="Arial" w:hAnsi="Arial"/>
          <w:b/>
          <w:bCs/>
          <w:color w:val="00629B"/>
          <w:sz w:val="32"/>
          <w:szCs w:val="32"/>
        </w:rPr>
        <w:t xml:space="preserve">6. Tablero de mejora continua de servicios inclusivos</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3D3D3D"/>
          <w:sz w:val="22"/>
          <w:szCs w:val="22"/>
        </w:rPr>
        <w:t xml:space="preserve">El Tablero de mejora continua es el instrumento que permite a la Mesa hacer seguimiento sistemático a sus decisiones y alertas a lo largo del tiempo. No es un documento estático: se actualiza en cada sesión y se convierte en la memoria institucional del Modelo en el municipio.</w:t>
      </w:r>
    </w:p>
    <w:p>
      <w:pPr>
        <w:spacing w:after="0" w:before="60"/>
      </w:pPr>
    </w:p>
    <w:p>
      <w:pPr>
        <w:pStyle w:val="Heading2"/>
        <w:spacing w:after="80" w:before="220"/>
      </w:pPr>
      <w:r>
        <w:rPr>
          <w:rFonts w:ascii="Arial" w:cs="Arial" w:eastAsia="Arial" w:hAnsi="Arial"/>
          <w:b/>
          <w:bCs/>
          <w:color w:val="1CABE2"/>
          <w:sz w:val="26"/>
          <w:szCs w:val="26"/>
        </w:rPr>
        <w:t xml:space="preserve">6.1 Estructura del Tablero</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120"/>
        <w:gridCol w:w="2120"/>
        <w:gridCol w:w="2891"/>
        <w:gridCol w:w="2507"/>
      </w:tblGrid>
      <w:tr>
        <w:tc>
          <w:tcPr>
            <w:tcW w:type="dxa" w:w="2120"/>
            <w:tcBorders>
              <w:top w:val="single" w:color="00629B" w:sz="6"/>
              <w:left w:val="single" w:color="00629B" w:sz="6"/>
              <w:bottom w:val="single" w:color="00629B" w:sz="6"/>
              <w:right w:val="single" w:color="00629B" w:sz="6"/>
            </w:tcBorders>
            <w:shd w:fill="00629B" w:val="clear"/>
            <w:tcMar>
              <w:top w:type="dxa" w:w="80"/>
              <w:left w:type="dxa" w:w="100"/>
              <w:bottom w:type="dxa" w:w="80"/>
              <w:right w:type="dxa" w:w="100"/>
            </w:tcMar>
          </w:tcPr>
          <w:p>
            <w:pPr>
              <w:spacing w:after="0" w:before="0"/>
            </w:pPr>
            <w:r>
              <w:rPr>
                <w:rFonts w:ascii="Arial" w:cs="Arial" w:eastAsia="Arial" w:hAnsi="Arial"/>
                <w:b/>
                <w:bCs/>
                <w:color w:val="FFFFFF"/>
                <w:sz w:val="19"/>
                <w:szCs w:val="19"/>
              </w:rPr>
              <w:t xml:space="preserve">Barrera o alerta identificada</w:t>
            </w:r>
          </w:p>
        </w:tc>
        <w:tc>
          <w:tcPr>
            <w:tcW w:type="dxa" w:w="2120"/>
            <w:tcBorders>
              <w:top w:val="single" w:color="00629B" w:sz="6"/>
              <w:left w:val="single" w:color="00629B" w:sz="6"/>
              <w:bottom w:val="single" w:color="00629B" w:sz="6"/>
              <w:right w:val="single" w:color="00629B" w:sz="6"/>
            </w:tcBorders>
            <w:shd w:fill="00629B" w:val="clear"/>
            <w:tcMar>
              <w:top w:type="dxa" w:w="80"/>
              <w:left w:type="dxa" w:w="100"/>
              <w:bottom w:type="dxa" w:w="80"/>
              <w:right w:type="dxa" w:w="100"/>
            </w:tcMar>
          </w:tcPr>
          <w:p>
            <w:pPr>
              <w:spacing w:after="0" w:before="0"/>
            </w:pPr>
            <w:r>
              <w:rPr>
                <w:rFonts w:ascii="Arial" w:cs="Arial" w:eastAsia="Arial" w:hAnsi="Arial"/>
                <w:b/>
                <w:bCs/>
                <w:color w:val="FFFFFF"/>
                <w:sz w:val="19"/>
                <w:szCs w:val="19"/>
              </w:rPr>
              <w:t xml:space="preserve">Sector responsable</w:t>
            </w:r>
          </w:p>
        </w:tc>
        <w:tc>
          <w:tcPr>
            <w:tcW w:type="dxa" w:w="2891"/>
            <w:tcBorders>
              <w:top w:val="single" w:color="00629B" w:sz="6"/>
              <w:left w:val="single" w:color="00629B" w:sz="6"/>
              <w:bottom w:val="single" w:color="00629B" w:sz="6"/>
              <w:right w:val="single" w:color="00629B" w:sz="6"/>
            </w:tcBorders>
            <w:shd w:fill="00629B" w:val="clear"/>
            <w:tcMar>
              <w:top w:type="dxa" w:w="80"/>
              <w:left w:type="dxa" w:w="100"/>
              <w:bottom w:type="dxa" w:w="80"/>
              <w:right w:type="dxa" w:w="100"/>
            </w:tcMar>
          </w:tcPr>
          <w:p>
            <w:pPr>
              <w:spacing w:after="0" w:before="0"/>
            </w:pPr>
            <w:r>
              <w:rPr>
                <w:rFonts w:ascii="Arial" w:cs="Arial" w:eastAsia="Arial" w:hAnsi="Arial"/>
                <w:b/>
                <w:bCs/>
                <w:color w:val="FFFFFF"/>
                <w:sz w:val="19"/>
                <w:szCs w:val="19"/>
              </w:rPr>
              <w:t xml:space="preserve">Solución o mejora acordada</w:t>
            </w:r>
          </w:p>
        </w:tc>
        <w:tc>
          <w:tcPr>
            <w:tcW w:type="dxa" w:w="2507"/>
            <w:tcBorders>
              <w:top w:val="single" w:color="00629B" w:sz="6"/>
              <w:left w:val="single" w:color="00629B" w:sz="6"/>
              <w:bottom w:val="single" w:color="00629B" w:sz="6"/>
              <w:right w:val="single" w:color="00629B" w:sz="6"/>
            </w:tcBorders>
            <w:shd w:fill="00629B" w:val="clear"/>
            <w:tcMar>
              <w:top w:type="dxa" w:w="80"/>
              <w:left w:type="dxa" w:w="100"/>
              <w:bottom w:type="dxa" w:w="80"/>
              <w:right w:type="dxa" w:w="100"/>
            </w:tcMar>
          </w:tcPr>
          <w:p>
            <w:pPr>
              <w:spacing w:after="0" w:before="0"/>
            </w:pPr>
            <w:r>
              <w:rPr>
                <w:rFonts w:ascii="Arial" w:cs="Arial" w:eastAsia="Arial" w:hAnsi="Arial"/>
                <w:b/>
                <w:bCs/>
                <w:color w:val="FFFFFF"/>
                <w:sz w:val="19"/>
                <w:szCs w:val="19"/>
              </w:rPr>
              <w:t xml:space="preserve">Estado</w:t>
            </w:r>
          </w:p>
        </w:tc>
      </w:tr>
      <w:tr>
        <w:tc>
          <w:tcPr>
            <w:tcW w:type="dxa" w:w="2120"/>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i w:val="false"/>
                <w:iCs w:val="false"/>
                <w:color w:val="3D3D3D"/>
                <w:sz w:val="19"/>
                <w:szCs w:val="19"/>
              </w:rPr>
              <w:t xml:space="preserve">Ejemplo: Certificación de discapacidad con demoras superiores a 30 días en la red de salud</w:t>
            </w:r>
          </w:p>
        </w:tc>
        <w:tc>
          <w:tcPr>
            <w:tcW w:type="dxa" w:w="2120"/>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i w:val="false"/>
                <w:iCs w:val="false"/>
                <w:color w:val="3D3D3D"/>
                <w:sz w:val="19"/>
                <w:szCs w:val="19"/>
              </w:rPr>
              <w:t xml:space="preserve">Salud</w:t>
            </w:r>
          </w:p>
        </w:tc>
        <w:tc>
          <w:tcPr>
            <w:tcW w:type="dxa" w:w="2891"/>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i w:val="false"/>
                <w:iCs w:val="false"/>
                <w:color w:val="3D3D3D"/>
                <w:sz w:val="19"/>
                <w:szCs w:val="19"/>
              </w:rPr>
              <w:t xml:space="preserve">Gestión ante gerencia de hospital para activar protocolo de priorización. Plazo: 15 días.</w:t>
            </w:r>
          </w:p>
        </w:tc>
        <w:tc>
          <w:tcPr>
            <w:tcW w:type="dxa" w:w="2507"/>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i/>
                <w:iCs/>
                <w:color w:val="1CABE2"/>
                <w:sz w:val="19"/>
                <w:szCs w:val="19"/>
              </w:rPr>
              <w:t xml:space="preserve">En seguimiento — sesión de julio</w:t>
            </w:r>
          </w:p>
        </w:tc>
      </w:tr>
      <w:tr>
        <w:tc>
          <w:tcPr>
            <w:tcW w:type="dxa" w:w="212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i w:val="false"/>
                <w:iCs w:val="false"/>
                <w:color w:val="3D3D3D"/>
                <w:sz w:val="19"/>
                <w:szCs w:val="19"/>
              </w:rPr>
              <w:t xml:space="preserve">Ejemplo: Cuatro niñas entre 10 y 15 años identificadas como cuidadoras principales en el barrio Las Flores</w:t>
            </w:r>
          </w:p>
        </w:tc>
        <w:tc>
          <w:tcPr>
            <w:tcW w:type="dxa" w:w="212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i w:val="false"/>
                <w:iCs w:val="false"/>
                <w:color w:val="3D3D3D"/>
                <w:sz w:val="19"/>
                <w:szCs w:val="19"/>
              </w:rPr>
              <w:t xml:space="preserve">Protección / Educación / Género</w:t>
            </w:r>
          </w:p>
        </w:tc>
        <w:tc>
          <w:tcPr>
            <w:tcW w:type="dxa" w:w="2891"/>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i w:val="false"/>
                <w:iCs w:val="false"/>
                <w:color w:val="3D3D3D"/>
                <w:sz w:val="19"/>
                <w:szCs w:val="19"/>
              </w:rPr>
              <w:t xml:space="preserve">Activación de ruta de protección en Comisaría de Familia. Verificación de matrícula escolar. Asignación de gestor.</w:t>
            </w:r>
          </w:p>
        </w:tc>
        <w:tc>
          <w:tcPr>
            <w:tcW w:type="dxa" w:w="2507"/>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i/>
                <w:iCs/>
                <w:color w:val="1CABE2"/>
                <w:sz w:val="19"/>
                <w:szCs w:val="19"/>
              </w:rPr>
              <w:t xml:space="preserve">Resuelto parcialmente — seguimiento mensual</w:t>
            </w:r>
          </w:p>
        </w:tc>
      </w:tr>
      <w:tr>
        <w:tc>
          <w:tcPr>
            <w:tcW w:type="dxa" w:w="2120"/>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i w:val="false"/>
                <w:iCs w:val="false"/>
                <w:color w:val="3D3D3D"/>
                <w:sz w:val="19"/>
                <w:szCs w:val="19"/>
              </w:rPr>
              <w:t xml:space="preserve">Ejemplo: Cuatro casos sin acceso a silla de ruedas en espera desde hace más de seis meses</w:t>
            </w:r>
          </w:p>
        </w:tc>
        <w:tc>
          <w:tcPr>
            <w:tcW w:type="dxa" w:w="2120"/>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i w:val="false"/>
                <w:iCs w:val="false"/>
                <w:color w:val="3D3D3D"/>
                <w:sz w:val="19"/>
                <w:szCs w:val="19"/>
              </w:rPr>
              <w:t xml:space="preserve">Salud / Protección social</w:t>
            </w:r>
          </w:p>
        </w:tc>
        <w:tc>
          <w:tcPr>
            <w:tcW w:type="dxa" w:w="2891"/>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i w:val="false"/>
                <w:iCs w:val="false"/>
                <w:color w:val="3D3D3D"/>
                <w:sz w:val="19"/>
                <w:szCs w:val="19"/>
              </w:rPr>
              <w:t xml:space="preserve">Gestión ante Gobernación para inclusión en el Plan de Desarrollo Departamental. Solicitud formal enviada.</w:t>
            </w:r>
          </w:p>
        </w:tc>
        <w:tc>
          <w:tcPr>
            <w:tcW w:type="dxa" w:w="2507"/>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i/>
                <w:iCs/>
                <w:color w:val="1CABE2"/>
                <w:sz w:val="19"/>
                <w:szCs w:val="19"/>
              </w:rPr>
              <w:t xml:space="preserve">Escalado a nivel departamental</w:t>
            </w:r>
          </w:p>
        </w:tc>
      </w:tr>
      <w:tr>
        <w:tc>
          <w:tcPr>
            <w:tcW w:type="dxa" w:w="212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i w:val="false"/>
                <w:iCs w:val="false"/>
                <w:color w:val="3D3D3D"/>
                <w:sz w:val="19"/>
                <w:szCs w:val="19"/>
              </w:rPr>
              <w:t xml:space="preserve">[Barrera o alerta nueva]</w:t>
            </w:r>
          </w:p>
        </w:tc>
        <w:tc>
          <w:tcPr>
            <w:tcW w:type="dxa" w:w="212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i w:val="false"/>
                <w:iCs w:val="false"/>
                <w:color w:val="3D3D3D"/>
                <w:sz w:val="19"/>
                <w:szCs w:val="19"/>
              </w:rPr>
              <w:t xml:space="preserve">[Sector]</w:t>
            </w:r>
          </w:p>
        </w:tc>
        <w:tc>
          <w:tcPr>
            <w:tcW w:type="dxa" w:w="2891"/>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i w:val="false"/>
                <w:iCs w:val="false"/>
                <w:color w:val="3D3D3D"/>
                <w:sz w:val="19"/>
                <w:szCs w:val="19"/>
              </w:rPr>
              <w:t xml:space="preserve">[Solución acordada — responsable — plazo]</w:t>
            </w:r>
          </w:p>
        </w:tc>
        <w:tc>
          <w:tcPr>
            <w:tcW w:type="dxa" w:w="2507"/>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i/>
                <w:iCs/>
                <w:color w:val="1CABE2"/>
                <w:sz w:val="19"/>
                <w:szCs w:val="19"/>
              </w:rPr>
              <w:t xml:space="preserve">[Estado actual]</w:t>
            </w:r>
          </w:p>
        </w:tc>
      </w:tr>
    </w:tbl>
    <w:p>
      <w:pPr>
        <w:spacing w:after="0" w:before="80"/>
      </w:pPr>
    </w:p>
    <w:p>
      <w:pPr>
        <w:pStyle w:val="Heading2"/>
        <w:spacing w:after="80" w:before="220"/>
      </w:pPr>
      <w:r>
        <w:rPr>
          <w:rFonts w:ascii="Arial" w:cs="Arial" w:eastAsia="Arial" w:hAnsi="Arial"/>
          <w:b/>
          <w:bCs/>
          <w:color w:val="1CABE2"/>
          <w:sz w:val="26"/>
          <w:szCs w:val="26"/>
        </w:rPr>
        <w:t xml:space="preserve">6.2 Indicadores de seguimiento de la Mesa</w:t>
      </w:r>
    </w:p>
    <w:p>
      <w:pPr>
        <w:spacing w:after="60" w:before="60"/>
        <w:jc w:val="both"/>
      </w:pPr>
      <w:r>
        <w:rPr>
          <w:rFonts w:ascii="Arial" w:cs="Arial" w:eastAsia="Arial" w:hAnsi="Arial"/>
          <w:b w:val="false"/>
          <w:bCs w:val="false"/>
          <w:i w:val="false"/>
          <w:iCs w:val="false"/>
          <w:color w:val="3D3D3D"/>
          <w:sz w:val="22"/>
          <w:szCs w:val="22"/>
        </w:rPr>
        <w:t xml:space="preserve">La Mesa debe reportar trimestralmente a la Mesa intersectorial de gobernanza los siguientes indicadores:</w:t>
      </w:r>
    </w:p>
    <w:p>
      <w:pPr>
        <w:pStyle w:val="ListParagraph"/>
        <w:numPr>
          <w:ilvl w:val="0"/>
          <w:numId w:val="2"/>
        </w:numPr>
        <w:spacing w:after="30" w:before="30"/>
      </w:pPr>
      <w:r>
        <w:rPr>
          <w:rFonts w:ascii="Arial" w:cs="Arial" w:eastAsia="Arial" w:hAnsi="Arial"/>
          <w:color w:val="3D3D3D"/>
          <w:sz w:val="22"/>
          <w:szCs w:val="22"/>
        </w:rPr>
        <w:t xml:space="preserve">Número de sesiones realizadas en el período y porcentaje de asistencia del núcleo permanente.</w:t>
      </w:r>
    </w:p>
    <w:p>
      <w:pPr>
        <w:pStyle w:val="ListParagraph"/>
        <w:numPr>
          <w:ilvl w:val="0"/>
          <w:numId w:val="2"/>
        </w:numPr>
        <w:spacing w:after="30" w:before="30"/>
      </w:pPr>
      <w:r>
        <w:rPr>
          <w:rFonts w:ascii="Arial" w:cs="Arial" w:eastAsia="Arial" w:hAnsi="Arial"/>
          <w:color w:val="3D3D3D"/>
          <w:sz w:val="22"/>
          <w:szCs w:val="22"/>
        </w:rPr>
        <w:t xml:space="preserve">Número de casos revisados en la Mesa y porcentaje con decisión de solución acordada.</w:t>
      </w:r>
    </w:p>
    <w:p>
      <w:pPr>
        <w:pStyle w:val="ListParagraph"/>
        <w:numPr>
          <w:ilvl w:val="0"/>
          <w:numId w:val="2"/>
        </w:numPr>
        <w:spacing w:after="30" w:before="30"/>
      </w:pPr>
      <w:r>
        <w:rPr>
          <w:rFonts w:ascii="Arial" w:cs="Arial" w:eastAsia="Arial" w:hAnsi="Arial"/>
          <w:color w:val="3D3D3D"/>
          <w:sz w:val="22"/>
          <w:szCs w:val="22"/>
        </w:rPr>
        <w:t xml:space="preserve">Número de alertas de mejora continua generadas y porcentaje con respuesta en el plazo acordado.</w:t>
      </w:r>
    </w:p>
    <w:p>
      <w:pPr>
        <w:pStyle w:val="ListParagraph"/>
        <w:numPr>
          <w:ilvl w:val="0"/>
          <w:numId w:val="2"/>
        </w:numPr>
        <w:spacing w:after="30" w:before="30"/>
      </w:pPr>
      <w:r>
        <w:rPr>
          <w:rFonts w:ascii="Arial" w:cs="Arial" w:eastAsia="Arial" w:hAnsi="Arial"/>
          <w:color w:val="3D3D3D"/>
          <w:sz w:val="22"/>
          <w:szCs w:val="22"/>
        </w:rPr>
        <w:t xml:space="preserve">Número de niñas y adolescentes cuidadoras identificadas y porcentaje con ruta de protección activada.</w:t>
      </w:r>
    </w:p>
    <w:p>
      <w:pPr>
        <w:pStyle w:val="ListParagraph"/>
        <w:numPr>
          <w:ilvl w:val="0"/>
          <w:numId w:val="2"/>
        </w:numPr>
        <w:spacing w:after="30" w:before="30"/>
      </w:pPr>
      <w:r>
        <w:rPr>
          <w:rFonts w:ascii="Arial" w:cs="Arial" w:eastAsia="Arial" w:hAnsi="Arial"/>
          <w:color w:val="3D3D3D"/>
          <w:sz w:val="22"/>
          <w:szCs w:val="22"/>
        </w:rPr>
        <w:t xml:space="preserve">Número de cuidadores vinculados a programas de proyección social como resultado de decisiones de la Mesa.</w:t>
      </w:r>
    </w:p>
    <w:p>
      <w:pPr>
        <w:pStyle w:val="ListParagraph"/>
        <w:numPr>
          <w:ilvl w:val="0"/>
          <w:numId w:val="2"/>
        </w:numPr>
        <w:spacing w:after="30" w:before="30"/>
      </w:pPr>
      <w:r>
        <w:rPr>
          <w:rFonts w:ascii="Arial" w:cs="Arial" w:eastAsia="Arial" w:hAnsi="Arial"/>
          <w:color w:val="3D3D3D"/>
          <w:sz w:val="22"/>
          <w:szCs w:val="22"/>
        </w:rPr>
        <w:t xml:space="preserve">Número de mejoras en servicios sectoriales implementadas como resultado de decisiones de la Mesa.</w:t>
      </w:r>
    </w:p>
    <w:p>
      <w:pPr>
        <w:spacing w:after="0" w:before="80"/>
      </w:pPr>
    </w:p>
    <w:p>
      <w:r>
        <w:br w:type="page"/>
      </w:r>
    </w:p>
    <w:p>
      <w:pPr>
        <w:pStyle w:val="Heading1"/>
        <w:spacing w:after="120" w:before="280"/>
      </w:pPr>
      <w:r>
        <w:rPr>
          <w:rFonts w:ascii="Arial" w:cs="Arial" w:eastAsia="Arial" w:hAnsi="Arial"/>
          <w:b/>
          <w:bCs/>
          <w:color w:val="00629B"/>
          <w:sz w:val="32"/>
          <w:szCs w:val="32"/>
        </w:rPr>
        <w:t xml:space="preserve">7. Formato de acta de sesión</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3D3D3D"/>
          <w:sz w:val="22"/>
          <w:szCs w:val="22"/>
        </w:rPr>
        <w:t xml:space="preserve">El acta es el instrumento de trazabilidad de la Mesa. Su uso disciplinado garantiza la memoria institucional y el rendimiento de cuentas. Debe ser simple, precisa y estar disponible para todos los integrantes en un plazo máximo de 48 horas tras la sesión.</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469"/>
        <w:gridCol w:w="6169"/>
      </w:tblGrid>
      <w:tr>
        <w:tc>
          <w:tcPr>
            <w:tcW w:type="dxa" w:w="9638"/>
            <w:tcBorders>
              <w:top w:val="none" w:color="FFFFFF" w:sz="0"/>
              <w:left w:val="none" w:color="FFFFFF" w:sz="0"/>
              <w:bottom w:val="none" w:color="FFFFFF" w:sz="0"/>
              <w:right w:val="none" w:color="FFFFFF" w:sz="0"/>
            </w:tcBorders>
            <w:shd w:fill="1CABE2"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ACTA DE SESIÓN — Mesa de Soluciones Innovadoras de Apoyo y Cuidado</w:t>
            </w:r>
          </w:p>
        </w:tc>
      </w:tr>
      <w:tr>
        <w:tc>
          <w:tcPr>
            <w:tcW w:type="dxa" w:w="34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Fecha y lugar</w:t>
            </w:r>
          </w:p>
        </w:tc>
        <w:tc>
          <w:tcPr>
            <w:tcW w:type="dxa" w:w="61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
            </w:r>
          </w:p>
        </w:tc>
      </w:tr>
      <w:tr>
        <w:tc>
          <w:tcPr>
            <w:tcW w:type="dxa" w:w="34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Coordinador o coordinadora</w:t>
            </w:r>
          </w:p>
        </w:tc>
        <w:tc>
          <w:tcPr>
            <w:tcW w:type="dxa" w:w="61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
            </w:r>
          </w:p>
        </w:tc>
      </w:tr>
      <w:tr>
        <w:tc>
          <w:tcPr>
            <w:tcW w:type="dxa" w:w="34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Integrantes presentes</w:t>
            </w:r>
          </w:p>
        </w:tc>
        <w:tc>
          <w:tcPr>
            <w:tcW w:type="dxa" w:w="61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Nombre / entidad / cargo</w:t>
            </w:r>
          </w:p>
        </w:tc>
      </w:tr>
      <w:tr>
        <w:tc>
          <w:tcPr>
            <w:tcW w:type="dxa" w:w="34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Invitados presentes</w:t>
            </w:r>
          </w:p>
        </w:tc>
        <w:tc>
          <w:tcPr>
            <w:tcW w:type="dxa" w:w="61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Nombre / entidad / motivo</w:t>
            </w:r>
          </w:p>
        </w:tc>
      </w:tr>
      <w:tr>
        <w:tc>
          <w:tcPr>
            <w:tcW w:type="dxa" w:w="34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Compromisos pendientes de sesión anterior</w:t>
            </w:r>
          </w:p>
        </w:tc>
        <w:tc>
          <w:tcPr>
            <w:tcW w:type="dxa" w:w="61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Estado: cumplido / en proceso / sin avance</w:t>
            </w:r>
          </w:p>
        </w:tc>
      </w:tr>
      <w:tr>
        <w:tc>
          <w:tcPr>
            <w:tcW w:type="dxa" w:w="34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Resumen del reporte de gestores</w:t>
            </w:r>
          </w:p>
        </w:tc>
        <w:tc>
          <w:tcPr>
            <w:tcW w:type="dxa" w:w="61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Datos clave: casos activos, barreras principales, alertas del período</w:t>
            </w:r>
          </w:p>
        </w:tc>
      </w:tr>
      <w:tr>
        <w:tc>
          <w:tcPr>
            <w:tcW w:type="dxa" w:w="34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Casos priorizados en deliberación</w:t>
            </w:r>
          </w:p>
        </w:tc>
        <w:tc>
          <w:tcPr>
            <w:tcW w:type="dxa" w:w="61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Código de caso / barrera / decisión acordada / responsable / plazo</w:t>
            </w:r>
          </w:p>
        </w:tc>
      </w:tr>
      <w:tr>
        <w:tc>
          <w:tcPr>
            <w:tcW w:type="dxa" w:w="34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Alertas de mejora continua tratadas</w:t>
            </w:r>
          </w:p>
        </w:tc>
        <w:tc>
          <w:tcPr>
            <w:tcW w:type="dxa" w:w="61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Alerta / sector / decisión / nivel de escalamiento / responsable</w:t>
            </w:r>
          </w:p>
        </w:tc>
      </w:tr>
      <w:tr>
        <w:tc>
          <w:tcPr>
            <w:tcW w:type="dxa" w:w="34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Decisiones sobre provisión de apoyos</w:t>
            </w:r>
          </w:p>
        </w:tc>
        <w:tc>
          <w:tcPr>
            <w:tcW w:type="dxa" w:w="61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Descripción / beneficiario (código) / responsable / plazo</w:t>
            </w:r>
          </w:p>
        </w:tc>
      </w:tr>
      <w:tr>
        <w:tc>
          <w:tcPr>
            <w:tcW w:type="dxa" w:w="34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Decisiones sobre mejoras en servicios</w:t>
            </w:r>
          </w:p>
        </w:tc>
        <w:tc>
          <w:tcPr>
            <w:tcW w:type="dxa" w:w="61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Servicio / mejora acordada / responsable / plazo</w:t>
            </w:r>
          </w:p>
        </w:tc>
      </w:tr>
      <w:tr>
        <w:tc>
          <w:tcPr>
            <w:tcW w:type="dxa" w:w="34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Decisiones sobre apoyos a cuidadores</w:t>
            </w:r>
          </w:p>
        </w:tc>
        <w:tc>
          <w:tcPr>
            <w:tcW w:type="dxa" w:w="61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Cuidador (código) / apoyo acordado / responsable / plazo</w:t>
            </w:r>
          </w:p>
        </w:tc>
      </w:tr>
      <w:tr>
        <w:tc>
          <w:tcPr>
            <w:tcW w:type="dxa" w:w="34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Casos de niñas o adolescentes cuidadoras</w:t>
            </w:r>
          </w:p>
        </w:tc>
        <w:tc>
          <w:tcPr>
            <w:tcW w:type="dxa" w:w="61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Código / acción de protección / responsable / seguimiento</w:t>
            </w:r>
          </w:p>
        </w:tc>
      </w:tr>
      <w:tr>
        <w:tc>
          <w:tcPr>
            <w:tcW w:type="dxa" w:w="34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Próxima sesión</w:t>
            </w:r>
          </w:p>
        </w:tc>
        <w:tc>
          <w:tcPr>
            <w:tcW w:type="dxa" w:w="6169"/>
            <w:tcBorders>
              <w:top w:val="single" w:color="CCCCCC" w:sz="4"/>
              <w:left w:val="single" w:color="CCCCCC" w:sz="4"/>
              <w:bottom w:val="single" w:color="CCCCCC" w:sz="4"/>
              <w:right w:val="single" w:color="CCCCCC" w:sz="4"/>
            </w:tcBorders>
            <w:shd w:fill="F5F5F5"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Fecha / temas ya identificados para la agenda</w:t>
            </w:r>
          </w:p>
        </w:tc>
      </w:tr>
      <w:tr>
        <w:tc>
          <w:tcPr>
            <w:tcW w:type="dxa" w:w="34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b/>
                <w:bCs/>
                <w:color w:val="3D3D3D"/>
                <w:sz w:val="20"/>
                <w:szCs w:val="20"/>
              </w:rPr>
              <w:t xml:space="preserve">Firma coordinador o coordinadora</w:t>
            </w:r>
          </w:p>
        </w:tc>
        <w:tc>
          <w:tcPr>
            <w:tcW w:type="dxa" w:w="6169"/>
            <w:tcBorders>
              <w:top w:val="single" w:color="CCCCCC" w:sz="4"/>
              <w:left w:val="single" w:color="CCCCCC" w:sz="4"/>
              <w:bottom w:val="single" w:color="CCCCCC" w:sz="4"/>
              <w:right w:val="single" w:color="CCCCCC" w:sz="4"/>
            </w:tcBorders>
            <w:shd w:fill="FFFFFF" w:val="clear"/>
            <w:tcMar>
              <w:top w:type="dxa" w:w="60"/>
              <w:left w:type="dxa" w:w="120"/>
              <w:bottom w:type="dxa" w:w="60"/>
              <w:right w:type="dxa" w:w="120"/>
            </w:tcMar>
          </w:tcPr>
          <w:p>
            <w:pPr>
              <w:spacing w:after="0" w:before="0"/>
            </w:pPr>
            <w:r>
              <w:rPr>
                <w:rFonts w:ascii="Arial" w:cs="Arial" w:eastAsia="Arial" w:hAnsi="Arial"/>
                <w:i/>
                <w:iCs/>
                <w:color w:val="888888"/>
                <w:sz w:val="20"/>
                <w:szCs w:val="20"/>
              </w:rPr>
              <w:t xml:space="preserve"/>
            </w:r>
          </w:p>
        </w:tc>
      </w:tr>
    </w:tbl>
    <w:p>
      <w:pPr>
        <w:spacing w:after="0" w:before="80"/>
      </w:pPr>
    </w:p>
    <w:p>
      <w:r>
        <w:br w:type="page"/>
      </w:r>
    </w:p>
    <w:p>
      <w:pPr>
        <w:pStyle w:val="Heading1"/>
        <w:spacing w:after="120" w:before="280"/>
      </w:pPr>
      <w:r>
        <w:rPr>
          <w:rFonts w:ascii="Arial" w:cs="Arial" w:eastAsia="Arial" w:hAnsi="Arial"/>
          <w:b/>
          <w:bCs/>
          <w:color w:val="00629B"/>
          <w:sz w:val="32"/>
          <w:szCs w:val="32"/>
        </w:rPr>
        <w:t xml:space="preserve">8. Cómo instalar la Mesa en el municipio</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3D3D3D"/>
          <w:sz w:val="22"/>
          <w:szCs w:val="22"/>
        </w:rPr>
        <w:t xml:space="preserve">La Mesa no requiere infraestructura nueva ni recursos adicionales para comenzar. Requiere voluntad política, un equipo de gestores activo y el acuerdo de las secretarías del núcleo permanente para dedicar dos horas mensuales a decidir juntos.</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00"/>
        <w:gridCol w:w="8738"/>
      </w:tblGrid>
      <w:tr>
        <w:tc>
          <w:tcPr>
            <w:tcW w:type="dxa" w:w="900"/>
            <w:vMerge w:val="restart"/>
            <w:tcBorders>
              <w:top w:val="none" w:color="FFFFFF" w:sz="0"/>
              <w:left w:val="none" w:color="FFFFFF" w:sz="0"/>
              <w:bottom w:val="none" w:color="FFFFFF" w:sz="0"/>
              <w:right w:val="none" w:color="FFFFFF" w:sz="0"/>
            </w:tcBorders>
            <w:shd w:fill="00629B" w:val="clear"/>
            <w:tcMar>
              <w:top w:type="dxa" w:w="80"/>
              <w:left w:type="dxa" w:w="60"/>
              <w:bottom w:type="dxa" w:w="80"/>
              <w:right w:type="dxa" w:w="60"/>
            </w:tcMar>
            <w:vAlign w:val="center"/>
          </w:tcPr>
          <w:p>
            <w:pPr>
              <w:spacing w:after="20" w:before="0"/>
              <w:jc w:val="center"/>
            </w:pPr>
            <w:r>
              <w:rPr>
                <w:rFonts w:ascii="Arial" w:cs="Arial" w:eastAsia="Arial" w:hAnsi="Arial"/>
                <w:b/>
                <w:bCs/>
                <w:color w:val="FFFFFF"/>
                <w:sz w:val="44"/>
                <w:szCs w:val="44"/>
              </w:rPr>
              <w:t xml:space="preserve">01</w:t>
            </w:r>
          </w:p>
          <w:p>
            <w:pPr>
              <w:spacing w:after="0" w:before="0"/>
              <w:jc w:val="center"/>
            </w:pPr>
            <w:r>
              <w:rPr>
                <w:rFonts w:ascii="Arial" w:cs="Arial" w:eastAsia="Arial" w:hAnsi="Arial"/>
                <w:b/>
                <w:bCs/>
                <w:color w:val="FFFFFF"/>
                <w:sz w:val="17"/>
                <w:szCs w:val="17"/>
              </w:rPr>
              <w:t xml:space="preserve">Alistamiento
(Semana 1-2)</w:t>
            </w:r>
          </w:p>
        </w:tc>
        <w:tc>
          <w:tcPr>
            <w:tcW w:type="dxa" w:w="8738"/>
            <w:tcBorders>
              <w:top w:val="none" w:color="FFFFFF" w:sz="0"/>
              <w:left w:val="none" w:color="FFFFFF" w:sz="0"/>
              <w:bottom w:val="none" w:color="FFFFFF" w:sz="0"/>
              <w:right w:val="none" w:color="FFFFFF" w:sz="0"/>
            </w:tcBorders>
            <w:shd w:fill="F5F5F5" w:val="clear"/>
            <w:tcMar>
              <w:top w:type="dxa" w:w="60"/>
              <w:left w:type="dxa" w:w="120"/>
              <w:bottom w:type="dxa" w:w="1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Confirmar con la Alcaldía la entidad que liderará la Mesa (usualmente la Secretaría de Desarrollo Social o la dependencia responsable del Modelo).</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Identificar los referentes sectoriales del núcleo permanente y comunicarles el propósito y la agenda de la sesión inaugural.</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Asegurarse de que el equipo de gestores de caso está operativo y tiene casos activos para reportar.</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Revisar la Plantilla de Gobernanza Intersectorial para verificar que los acuerdos de coordinación ya formalizados son compatibles con la Mesa.</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00"/>
        <w:gridCol w:w="8738"/>
      </w:tblGrid>
      <w:tr>
        <w:tc>
          <w:tcPr>
            <w:tcW w:type="dxa" w:w="900"/>
            <w:vMerge w:val="restart"/>
            <w:tcBorders>
              <w:top w:val="none" w:color="FFFFFF" w:sz="0"/>
              <w:left w:val="none" w:color="FFFFFF" w:sz="0"/>
              <w:bottom w:val="none" w:color="FFFFFF" w:sz="0"/>
              <w:right w:val="none" w:color="FFFFFF" w:sz="0"/>
            </w:tcBorders>
            <w:shd w:fill="1CABE2" w:val="clear"/>
            <w:tcMar>
              <w:top w:type="dxa" w:w="80"/>
              <w:left w:type="dxa" w:w="60"/>
              <w:bottom w:type="dxa" w:w="80"/>
              <w:right w:type="dxa" w:w="60"/>
            </w:tcMar>
            <w:vAlign w:val="center"/>
          </w:tcPr>
          <w:p>
            <w:pPr>
              <w:spacing w:after="20" w:before="0"/>
              <w:jc w:val="center"/>
            </w:pPr>
            <w:r>
              <w:rPr>
                <w:rFonts w:ascii="Arial" w:cs="Arial" w:eastAsia="Arial" w:hAnsi="Arial"/>
                <w:b/>
                <w:bCs/>
                <w:color w:val="FFFFFF"/>
                <w:sz w:val="44"/>
                <w:szCs w:val="44"/>
              </w:rPr>
              <w:t xml:space="preserve">02</w:t>
            </w:r>
          </w:p>
          <w:p>
            <w:pPr>
              <w:spacing w:after="0" w:before="0"/>
              <w:jc w:val="center"/>
            </w:pPr>
            <w:r>
              <w:rPr>
                <w:rFonts w:ascii="Arial" w:cs="Arial" w:eastAsia="Arial" w:hAnsi="Arial"/>
                <w:b/>
                <w:bCs/>
                <w:color w:val="FFFFFF"/>
                <w:sz w:val="17"/>
                <w:szCs w:val="17"/>
              </w:rPr>
              <w:t xml:space="preserve">Sesión inaugural
(Semana 3)</w:t>
            </w:r>
          </w:p>
        </w:tc>
        <w:tc>
          <w:tcPr>
            <w:tcW w:type="dxa" w:w="8738"/>
            <w:tcBorders>
              <w:top w:val="none" w:color="FFFFFF" w:sz="0"/>
              <w:left w:val="none" w:color="FFFFFF" w:sz="0"/>
              <w:bottom w:val="none" w:color="FFFFFF" w:sz="0"/>
              <w:right w:val="none" w:color="FFFFFF" w:sz="0"/>
            </w:tcBorders>
            <w:shd w:fill="F5F5F5" w:val="clear"/>
            <w:tcMar>
              <w:top w:type="dxa" w:w="60"/>
              <w:left w:type="dxa" w:w="120"/>
              <w:bottom w:type="dxa" w:w="1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Realizar la primera sesión con el siguiente orden del día: presentación del propósito de la Mesa (20 min), revisión de los primeros reportes de gestores (30 min), acuerdo sobre la periodicidad y el protocolo de trabajo (20 min), instalación del Tablero de mejora continua (20 min), compromisos y cierre (10 min).</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En la sesión inaugural no se esperan decisiones complejas: el objetivo es que todos los integrantes comprendan su rol y se comprometan con el proceso.</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Documentar el acta de la sesión inaugural y circularla.</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00"/>
        <w:gridCol w:w="8738"/>
      </w:tblGrid>
      <w:tr>
        <w:tc>
          <w:tcPr>
            <w:tcW w:type="dxa" w:w="900"/>
            <w:vMerge w:val="restart"/>
            <w:tcBorders>
              <w:top w:val="none" w:color="FFFFFF" w:sz="0"/>
              <w:left w:val="none" w:color="FFFFFF" w:sz="0"/>
              <w:bottom w:val="none" w:color="FFFFFF" w:sz="0"/>
              <w:right w:val="none" w:color="FFFFFF" w:sz="0"/>
            </w:tcBorders>
            <w:shd w:fill="374EA2" w:val="clear"/>
            <w:tcMar>
              <w:top w:type="dxa" w:w="80"/>
              <w:left w:type="dxa" w:w="60"/>
              <w:bottom w:type="dxa" w:w="80"/>
              <w:right w:type="dxa" w:w="60"/>
            </w:tcMar>
            <w:vAlign w:val="center"/>
          </w:tcPr>
          <w:p>
            <w:pPr>
              <w:spacing w:after="20" w:before="0"/>
              <w:jc w:val="center"/>
            </w:pPr>
            <w:r>
              <w:rPr>
                <w:rFonts w:ascii="Arial" w:cs="Arial" w:eastAsia="Arial" w:hAnsi="Arial"/>
                <w:b/>
                <w:bCs/>
                <w:color w:val="FFFFFF"/>
                <w:sz w:val="44"/>
                <w:szCs w:val="44"/>
              </w:rPr>
              <w:t xml:space="preserve">03</w:t>
            </w:r>
          </w:p>
          <w:p>
            <w:pPr>
              <w:spacing w:after="0" w:before="0"/>
              <w:jc w:val="center"/>
            </w:pPr>
            <w:r>
              <w:rPr>
                <w:rFonts w:ascii="Arial" w:cs="Arial" w:eastAsia="Arial" w:hAnsi="Arial"/>
                <w:b/>
                <w:bCs/>
                <w:color w:val="FFFFFF"/>
                <w:sz w:val="17"/>
                <w:szCs w:val="17"/>
              </w:rPr>
              <w:t xml:space="preserve">Consolidación
(Meses 2-6)</w:t>
            </w:r>
          </w:p>
        </w:tc>
        <w:tc>
          <w:tcPr>
            <w:tcW w:type="dxa" w:w="8738"/>
            <w:tcBorders>
              <w:top w:val="none" w:color="FFFFFF" w:sz="0"/>
              <w:left w:val="none" w:color="FFFFFF" w:sz="0"/>
              <w:bottom w:val="none" w:color="FFFFFF" w:sz="0"/>
              <w:right w:val="none" w:color="FFFFFF" w:sz="0"/>
            </w:tcBorders>
            <w:shd w:fill="F5F5F5" w:val="clear"/>
            <w:tcMar>
              <w:top w:type="dxa" w:w="60"/>
              <w:left w:type="dxa" w:w="120"/>
              <w:bottom w:type="dxa" w:w="1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Mantener la periodicidad acordada sin excepción. La regularidad es el factor más importante para la credibilidad de la Mesa.</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En cada sesión, verificar el cumplimiento de los compromisos de la sesión anterior antes de generar nuevos.</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A partir del tercer mes, incluir al menos una sesión en que se revise colectivamente si el formato de reporte y la estructura de la sesión están funcionando, y ajustar lo que sea necesario.</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Reportar trimestralmente los indicadores de seguimiento a la Mesa intersectorial de gobernanza.</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00"/>
        <w:gridCol w:w="8738"/>
      </w:tblGrid>
      <w:tr>
        <w:tc>
          <w:tcPr>
            <w:tcW w:type="dxa" w:w="900"/>
            <w:vMerge w:val="restart"/>
            <w:tcBorders>
              <w:top w:val="none" w:color="FFFFFF" w:sz="0"/>
              <w:left w:val="none" w:color="FFFFFF" w:sz="0"/>
              <w:bottom w:val="none" w:color="FFFFFF" w:sz="0"/>
              <w:right w:val="none" w:color="FFFFFF" w:sz="0"/>
            </w:tcBorders>
            <w:shd w:fill="80BD41" w:val="clear"/>
            <w:tcMar>
              <w:top w:type="dxa" w:w="80"/>
              <w:left w:type="dxa" w:w="60"/>
              <w:bottom w:type="dxa" w:w="80"/>
              <w:right w:type="dxa" w:w="60"/>
            </w:tcMar>
            <w:vAlign w:val="center"/>
          </w:tcPr>
          <w:p>
            <w:pPr>
              <w:spacing w:after="20" w:before="0"/>
              <w:jc w:val="center"/>
            </w:pPr>
            <w:r>
              <w:rPr>
                <w:rFonts w:ascii="Arial" w:cs="Arial" w:eastAsia="Arial" w:hAnsi="Arial"/>
                <w:b/>
                <w:bCs/>
                <w:color w:val="FFFFFF"/>
                <w:sz w:val="44"/>
                <w:szCs w:val="44"/>
              </w:rPr>
              <w:t xml:space="preserve">04</w:t>
            </w:r>
          </w:p>
          <w:p>
            <w:pPr>
              <w:spacing w:after="0" w:before="0"/>
              <w:jc w:val="center"/>
            </w:pPr>
            <w:r>
              <w:rPr>
                <w:rFonts w:ascii="Arial" w:cs="Arial" w:eastAsia="Arial" w:hAnsi="Arial"/>
                <w:b/>
                <w:bCs/>
                <w:color w:val="FFFFFF"/>
                <w:sz w:val="17"/>
                <w:szCs w:val="17"/>
              </w:rPr>
              <w:t xml:space="preserve">Innovación sostenida
(A partir del mes 7)</w:t>
            </w:r>
          </w:p>
        </w:tc>
        <w:tc>
          <w:tcPr>
            <w:tcW w:type="dxa" w:w="8738"/>
            <w:tcBorders>
              <w:top w:val="none" w:color="FFFFFF" w:sz="0"/>
              <w:left w:val="none" w:color="FFFFFF" w:sz="0"/>
              <w:bottom w:val="none" w:color="FFFFFF" w:sz="0"/>
              <w:right w:val="none" w:color="FFFFFF" w:sz="0"/>
            </w:tcBorders>
            <w:shd w:fill="F5F5F5" w:val="clear"/>
            <w:tcMar>
              <w:top w:type="dxa" w:w="60"/>
              <w:left w:type="dxa" w:w="120"/>
              <w:bottom w:type="dxa" w:w="1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Incorporar gradualmente actores invitados según las alertas y temas identificados: sector privado, academia, organizaciones comunitarias.</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Realizar al menos una sesión participativa al año con personas con discapacidad y cuidadores para validar si las soluciones que genera la Mesa responden a sus necesidades reales.</w:t>
            </w:r>
          </w:p>
        </w:tc>
      </w:tr>
      <w:tr>
        <w:tc>
          <w:tcPr>
            <w:vMerge w:val="continue"/>
            <w:tcBorders>
              <w:top w:val="none" w:color="FFFFFF" w:sz="0"/>
              <w:left w:val="none" w:color="FFFFFF" w:sz="0"/>
              <w:bottom w:val="none" w:color="FFFFFF" w:sz="0"/>
              <w:right w:val="none" w:color="FFFFFF" w:sz="0"/>
            </w:tcBorders>
          </w:tcPr>
          <w:p/>
        </w:tc>
        <w:tc>
          <w:tcPr>
            <w:tcW w:type="dxa" w:w="900"/>
            <w:tcBorders>
              <w:top w:val="none" w:color="FFFFFF" w:sz="0"/>
              <w:left w:val="none" w:color="FFFFFF" w:sz="0"/>
              <w:bottom w:val="none" w:color="FFFFFF" w:sz="0"/>
              <w:right w:val="none" w:color="FFFFFF" w:sz="0"/>
            </w:tcBorders>
            <w:shd w:fill="F5F5F5" w:val="clear"/>
            <w:tcMar>
              <w:top w:type="dxa" w:w="30"/>
              <w:left w:type="dxa" w:w="60"/>
              <w:bottom w:type="dxa" w:w="30"/>
              <w:right w:type="dxa" w:w="60"/>
            </w:tcMar>
          </w:tcPr>
          <w:p>
            <w:pPr>
              <w:spacing w:after="0" w:before="0"/>
            </w:pPr>
          </w:p>
        </w:tc>
        <w:tc>
          <w:tcPr>
            <w:tcW w:type="dxa" w:w="8738"/>
            <w:tcBorders>
              <w:top w:val="none" w:color="FFFFFF" w:sz="0"/>
              <w:left w:val="none" w:color="FFFFFF" w:sz="0"/>
              <w:bottom w:val="none" w:color="FFFFFF" w:sz="0"/>
              <w:right w:val="none" w:color="FFFFFF" w:sz="0"/>
            </w:tcBorders>
            <w:shd w:fill="F5F5F5" w:val="clear"/>
            <w:tcMar>
              <w:top w:type="dxa" w:w="30"/>
              <w:left w:type="dxa" w:w="120"/>
              <w:bottom w:type="dxa" w:w="30"/>
              <w:right w:type="dxa" w:w="120"/>
            </w:tcMar>
          </w:tcPr>
          <w:p>
            <w:pPr>
              <w:pStyle w:val="ListParagraph"/>
              <w:numPr>
                <w:ilvl w:val="0"/>
                <w:numId w:val="2"/>
              </w:numPr>
              <w:spacing w:after="18" w:before="18"/>
            </w:pPr>
            <w:r>
              <w:rPr>
                <w:rFonts w:ascii="Arial" w:cs="Arial" w:eastAsia="Arial" w:hAnsi="Arial"/>
                <w:color w:val="3D3D3D"/>
                <w:sz w:val="21"/>
                <w:szCs w:val="21"/>
              </w:rPr>
              <w:t xml:space="preserve">Documentar las mejores decisiones de la Mesa como estudios de caso que puedan ser compartidos con otros municipios a través del asesor territorial de UNICEF.</w:t>
            </w:r>
          </w:p>
        </w:tc>
      </w:tr>
    </w:tbl>
    <w:p>
      <w:pPr>
        <w:spacing w:after="0" w:before="1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80BD41"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Señales de que la Mesa está funcionando bien</w:t>
            </w:r>
          </w:p>
        </w:tc>
      </w:tr>
      <w:tr>
        <w:tc>
          <w:tcPr>
            <w:tcW w:type="dxa" w:w="9638"/>
            <w:tcBorders>
              <w:top w:val="none" w:color="FFFFFF" w:sz="0"/>
              <w:left w:val="none" w:color="FFFFFF" w:sz="0"/>
              <w:bottom w:val="none" w:color="FFFFFF" w:sz="0"/>
              <w:right w:val="none" w:color="FFFFFF" w:sz="0"/>
            </w:tcBorders>
            <w:shd w:fill="F0FAF0"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Los gestores llegan con el reporte preparado y la Mesa puede entrar directamente a la deliberación.</w:t>
            </w:r>
          </w:p>
          <w:p>
            <w:pPr>
              <w:pStyle w:val="ListParagraph"/>
              <w:numPr>
                <w:ilvl w:val="0"/>
                <w:numId w:val="2"/>
              </w:numPr>
              <w:spacing w:after="20" w:before="20"/>
            </w:pPr>
            <w:r>
              <w:rPr>
                <w:rFonts w:ascii="Arial" w:cs="Arial" w:eastAsia="Arial" w:hAnsi="Arial"/>
                <w:color w:val="3D3D3D"/>
                <w:sz w:val="21"/>
                <w:szCs w:val="21"/>
              </w:rPr>
              <w:t xml:space="preserve">Los referentes sectoriales llegan con información sobre lo que pueden y no pueden hacer, no solo a escuchar.</w:t>
            </w:r>
          </w:p>
          <w:p>
            <w:pPr>
              <w:pStyle w:val="ListParagraph"/>
              <w:numPr>
                <w:ilvl w:val="0"/>
                <w:numId w:val="2"/>
              </w:numPr>
              <w:spacing w:after="20" w:before="20"/>
            </w:pPr>
            <w:r>
              <w:rPr>
                <w:rFonts w:ascii="Arial" w:cs="Arial" w:eastAsia="Arial" w:hAnsi="Arial"/>
                <w:color w:val="3D3D3D"/>
                <w:sz w:val="21"/>
                <w:szCs w:val="21"/>
              </w:rPr>
              <w:t xml:space="preserve">Las decisiones tienen responsable, plazo e indicador, y se verifican en la sesión siguiente.</w:t>
            </w:r>
          </w:p>
          <w:p>
            <w:pPr>
              <w:pStyle w:val="ListParagraph"/>
              <w:numPr>
                <w:ilvl w:val="0"/>
                <w:numId w:val="2"/>
              </w:numPr>
              <w:spacing w:after="20" w:before="20"/>
            </w:pPr>
            <w:r>
              <w:rPr>
                <w:rFonts w:ascii="Arial" w:cs="Arial" w:eastAsia="Arial" w:hAnsi="Arial"/>
                <w:color w:val="3D3D3D"/>
                <w:sz w:val="21"/>
                <w:szCs w:val="21"/>
              </w:rPr>
              <w:t xml:space="preserve">El Tablero de mejora continua muestra que las alertas se están resolviendo con el tiempo, no acumulando.</w:t>
            </w:r>
          </w:p>
          <w:p>
            <w:pPr>
              <w:pStyle w:val="ListParagraph"/>
              <w:numPr>
                <w:ilvl w:val="0"/>
                <w:numId w:val="2"/>
              </w:numPr>
              <w:spacing w:after="20" w:before="20"/>
            </w:pPr>
            <w:r>
              <w:rPr>
                <w:rFonts w:ascii="Arial" w:cs="Arial" w:eastAsia="Arial" w:hAnsi="Arial"/>
                <w:color w:val="3D3D3D"/>
                <w:sz w:val="21"/>
                <w:szCs w:val="21"/>
              </w:rPr>
              <w:t xml:space="preserve">Las personas con discapacidad y sus familias perciben cambios concretos en los servicios que reciben.</w:t>
            </w:r>
          </w:p>
        </w:tc>
      </w:tr>
    </w:tbl>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F26A21"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Señales de que la Mesa necesita ajustarse</w:t>
            </w:r>
          </w:p>
        </w:tc>
      </w:tr>
      <w:tr>
        <w:tc>
          <w:tcPr>
            <w:tcW w:type="dxa" w:w="9638"/>
            <w:tcBorders>
              <w:top w:val="none" w:color="FFFFFF" w:sz="0"/>
              <w:left w:val="none" w:color="FFFFFF" w:sz="0"/>
              <w:bottom w:val="none" w:color="FFFFFF" w:sz="0"/>
              <w:right w:val="none" w:color="FFFFFF" w:sz="0"/>
            </w:tcBorders>
            <w:shd w:fill="FEF5EE"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Los referentes sectoriales no asisten regularmente o mandan sustitutos sin poder de decisión.</w:t>
            </w:r>
          </w:p>
          <w:p>
            <w:pPr>
              <w:pStyle w:val="ListParagraph"/>
              <w:numPr>
                <w:ilvl w:val="0"/>
                <w:numId w:val="2"/>
              </w:numPr>
              <w:spacing w:after="20" w:before="20"/>
            </w:pPr>
            <w:r>
              <w:rPr>
                <w:rFonts w:ascii="Arial" w:cs="Arial" w:eastAsia="Arial" w:hAnsi="Arial"/>
                <w:color w:val="3D3D3D"/>
                <w:sz w:val="21"/>
                <w:szCs w:val="21"/>
              </w:rPr>
              <w:t xml:space="preserve">La sesión se convierte en un espacio de reporte y no de decisión: se habla mucho y se decide poco.</w:t>
            </w:r>
          </w:p>
          <w:p>
            <w:pPr>
              <w:pStyle w:val="ListParagraph"/>
              <w:numPr>
                <w:ilvl w:val="0"/>
                <w:numId w:val="2"/>
              </w:numPr>
              <w:spacing w:after="20" w:before="20"/>
            </w:pPr>
            <w:r>
              <w:rPr>
                <w:rFonts w:ascii="Arial" w:cs="Arial" w:eastAsia="Arial" w:hAnsi="Arial"/>
                <w:color w:val="3D3D3D"/>
                <w:sz w:val="21"/>
                <w:szCs w:val="21"/>
              </w:rPr>
              <w:t xml:space="preserve">Los compromisos de una sesión a otra se cumplen en menos del 60% de los casos.</w:t>
            </w:r>
          </w:p>
          <w:p>
            <w:pPr>
              <w:pStyle w:val="ListParagraph"/>
              <w:numPr>
                <w:ilvl w:val="0"/>
                <w:numId w:val="2"/>
              </w:numPr>
              <w:spacing w:after="20" w:before="20"/>
            </w:pPr>
            <w:r>
              <w:rPr>
                <w:rFonts w:ascii="Arial" w:cs="Arial" w:eastAsia="Arial" w:hAnsi="Arial"/>
                <w:color w:val="3D3D3D"/>
                <w:sz w:val="21"/>
                <w:szCs w:val="21"/>
              </w:rPr>
              <w:t xml:space="preserve">El Tablero muestra que las mismas alertas llevan más de tres sesiones sin respuesta.</w:t>
            </w:r>
          </w:p>
          <w:p>
            <w:pPr>
              <w:pStyle w:val="ListParagraph"/>
              <w:numPr>
                <w:ilvl w:val="0"/>
                <w:numId w:val="2"/>
              </w:numPr>
              <w:spacing w:after="20" w:before="20"/>
            </w:pPr>
            <w:r>
              <w:rPr>
                <w:rFonts w:ascii="Arial" w:cs="Arial" w:eastAsia="Arial" w:hAnsi="Arial"/>
                <w:color w:val="3D3D3D"/>
                <w:sz w:val="21"/>
                <w:szCs w:val="21"/>
              </w:rPr>
              <w:t xml:space="preserve">Los gestores sienten que reportar a la Mesa no cambia nada en la realidad de las personas.</w:t>
            </w:r>
          </w:p>
        </w:tc>
      </w:tr>
    </w:tbl>
    <w:p>
      <w:pPr>
        <w:spacing w:after="0" w:before="80"/>
      </w:pPr>
    </w:p>
    <w:p>
      <w:r>
        <w:br w:type="page"/>
      </w:r>
    </w:p>
    <w:p>
      <w:pPr>
        <w:pStyle w:val="Heading1"/>
        <w:spacing w:after="120" w:before="280"/>
      </w:pPr>
      <w:r>
        <w:rPr>
          <w:rFonts w:ascii="Arial" w:cs="Arial" w:eastAsia="Arial" w:hAnsi="Arial"/>
          <w:b/>
          <w:bCs/>
          <w:color w:val="00629B"/>
          <w:sz w:val="32"/>
          <w:szCs w:val="32"/>
        </w:rPr>
        <w:t xml:space="preserve">9. Recursos y referencias</w:t>
      </w:r>
    </w:p>
    <w:p>
      <w:pPr>
        <w:pBdr>
          <w:bottom w:val="single" w:color="1CABE2" w:sz="12" w:space="1"/>
        </w:pBdr>
        <w:spacing w:after="40" w:before="0"/>
      </w:pPr>
    </w:p>
    <w:p>
      <w:pPr>
        <w:pStyle w:val="Heading2"/>
        <w:spacing w:after="80" w:before="220"/>
      </w:pPr>
      <w:r>
        <w:rPr>
          <w:rFonts w:ascii="Arial" w:cs="Arial" w:eastAsia="Arial" w:hAnsi="Arial"/>
          <w:b/>
          <w:bCs/>
          <w:color w:val="1CABE2"/>
          <w:sz w:val="26"/>
          <w:szCs w:val="26"/>
        </w:rPr>
        <w:t xml:space="preserve">9.1 Herramientas del Modelo que articulan con esta guía</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c>
          <w:tcPr>
            <w:tcW w:type="dxa" w:w="3662"/>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Herramienta</w:t>
            </w:r>
          </w:p>
        </w:tc>
        <w:tc>
          <w:tcPr>
            <w:tcW w:type="dxa" w:w="5976"/>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Articulación con la Mesa</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Sistema de gestión de casos</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sistemacuidadoyapoyos.lovable.app/herramientas/gestion-casos — registro, seguimiento y fuente primaria del reporte de gestores.</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Plantilla de Gobernanza Intersectorial y Colaborativa</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Disponible en la sección de Recursos del sitio — formaliza la mesa intersectorial a la que la Mesa de Soluciones le reporta.</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Instrumento de diagnóstico territorial</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sistemacuidadoyapoyos.lovable.app/diagnostico-territorial — fuente del mapeo de oferta y brechas que orienta las decisiones de la Mesa.</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Guía para familias y cuidadores</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sistemacuidadoyapoyos.lovable.app/para-familias-y-cuidadores — informa a los gestores sobre los derechos y programas que pueden activar en la Mesa.</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Guía de articulación con Ventanillas Únicas Sociales</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Disponible en la sección de Recursos del sitio — pasos para conectar las decisiones de la Mesa con el Registro Social de Hogares.</w:t>
            </w:r>
          </w:p>
        </w:tc>
      </w:tr>
    </w:tbl>
    <w:p>
      <w:pPr>
        <w:spacing w:after="0" w:before="80"/>
      </w:pPr>
    </w:p>
    <w:p>
      <w:pPr>
        <w:pStyle w:val="Heading2"/>
        <w:spacing w:after="80" w:before="220"/>
      </w:pPr>
      <w:r>
        <w:rPr>
          <w:rFonts w:ascii="Arial" w:cs="Arial" w:eastAsia="Arial" w:hAnsi="Arial"/>
          <w:b/>
          <w:bCs/>
          <w:color w:val="1CABE2"/>
          <w:sz w:val="26"/>
          <w:szCs w:val="26"/>
        </w:rPr>
        <w:t xml:space="preserve">9.2 Marco normativo relevante</w:t>
      </w:r>
    </w:p>
    <w:p>
      <w:pPr>
        <w:pStyle w:val="ListParagraph"/>
        <w:numPr>
          <w:ilvl w:val="0"/>
          <w:numId w:val="2"/>
        </w:numPr>
        <w:spacing w:after="30" w:before="30"/>
      </w:pPr>
      <w:r>
        <w:rPr>
          <w:rFonts w:ascii="Arial" w:cs="Arial" w:eastAsia="Arial" w:hAnsi="Arial"/>
          <w:color w:val="3D3D3D"/>
          <w:sz w:val="22"/>
          <w:szCs w:val="22"/>
        </w:rPr>
        <w:t xml:space="preserve">Ley 1346 de 2009: aprobación de la Convención sobre los Derechos de las Personas con Discapacidad de las Naciones Unidas.</w:t>
      </w:r>
    </w:p>
    <w:p>
      <w:pPr>
        <w:pStyle w:val="ListParagraph"/>
        <w:numPr>
          <w:ilvl w:val="0"/>
          <w:numId w:val="2"/>
        </w:numPr>
        <w:spacing w:after="30" w:before="30"/>
      </w:pPr>
      <w:r>
        <w:rPr>
          <w:rFonts w:ascii="Arial" w:cs="Arial" w:eastAsia="Arial" w:hAnsi="Arial"/>
          <w:color w:val="3D3D3D"/>
          <w:sz w:val="22"/>
          <w:szCs w:val="22"/>
        </w:rPr>
        <w:t xml:space="preserve">Ley 1618 de 2013: disposiciones para garantizar el pleno ejercicio de los derechos de las personas con discapacidad.</w:t>
      </w:r>
    </w:p>
    <w:p>
      <w:pPr>
        <w:pStyle w:val="ListParagraph"/>
        <w:numPr>
          <w:ilvl w:val="0"/>
          <w:numId w:val="2"/>
        </w:numPr>
        <w:spacing w:after="30" w:before="30"/>
      </w:pPr>
      <w:r>
        <w:rPr>
          <w:rFonts w:ascii="Arial" w:cs="Arial" w:eastAsia="Arial" w:hAnsi="Arial"/>
          <w:color w:val="3D3D3D"/>
          <w:sz w:val="22"/>
          <w:szCs w:val="22"/>
        </w:rPr>
        <w:t xml:space="preserve">Ley 2456 de 2025: Fondo de Apoyo para Cuidadores de Personas con Discapacidad.</w:t>
      </w:r>
    </w:p>
    <w:p>
      <w:pPr>
        <w:pStyle w:val="ListParagraph"/>
        <w:numPr>
          <w:ilvl w:val="0"/>
          <w:numId w:val="2"/>
        </w:numPr>
        <w:spacing w:after="30" w:before="30"/>
      </w:pPr>
      <w:r>
        <w:rPr>
          <w:rFonts w:ascii="Arial" w:cs="Arial" w:eastAsia="Arial" w:hAnsi="Arial"/>
          <w:color w:val="3D3D3D"/>
          <w:sz w:val="22"/>
          <w:szCs w:val="22"/>
        </w:rPr>
        <w:t xml:space="preserve">CONPES 4142 de 2021: política pública para el Sistema Nacional de Cuidado.</w:t>
      </w:r>
    </w:p>
    <w:p>
      <w:pPr>
        <w:pStyle w:val="ListParagraph"/>
        <w:numPr>
          <w:ilvl w:val="0"/>
          <w:numId w:val="2"/>
        </w:numPr>
        <w:spacing w:after="30" w:before="30"/>
      </w:pPr>
      <w:r>
        <w:rPr>
          <w:rFonts w:ascii="Arial" w:cs="Arial" w:eastAsia="Arial" w:hAnsi="Arial"/>
          <w:color w:val="3D3D3D"/>
          <w:sz w:val="22"/>
          <w:szCs w:val="22"/>
        </w:rPr>
        <w:t xml:space="preserve">Lineamientos de la Ruta Integral de Atenciones del Instituto Colombiano de Bienestar Familiar para la primera infancia.</w:t>
      </w:r>
    </w:p>
    <w:p>
      <w:pPr>
        <w:pStyle w:val="ListParagraph"/>
        <w:numPr>
          <w:ilvl w:val="0"/>
          <w:numId w:val="2"/>
        </w:numPr>
        <w:spacing w:after="30" w:before="30"/>
      </w:pPr>
      <w:r>
        <w:rPr>
          <w:rFonts w:ascii="Arial" w:cs="Arial" w:eastAsia="Arial" w:hAnsi="Arial"/>
          <w:color w:val="3D3D3D"/>
          <w:sz w:val="22"/>
          <w:szCs w:val="22"/>
        </w:rPr>
        <w:t xml:space="preserve">Política pública nacional de discapacidad e inclusión social (Resolución 583 de 2018 del Ministerio de Salud).</w:t>
      </w:r>
    </w:p>
    <w:p>
      <w:pPr>
        <w:spacing w:after="0" w:before="60"/>
      </w:pPr>
    </w:p>
    <w:p>
      <w:r>
        <w:br w:type="page"/>
      </w:r>
    </w:p>
    <w:p>
      <w:pPr>
        <w:pStyle w:val="Heading1"/>
        <w:spacing w:after="120" w:before="280"/>
      </w:pPr>
      <w:r>
        <w:rPr>
          <w:rFonts w:ascii="Arial" w:cs="Arial" w:eastAsia="Arial" w:hAnsi="Arial"/>
          <w:b/>
          <w:bCs/>
          <w:color w:val="00629B"/>
          <w:sz w:val="32"/>
          <w:szCs w:val="32"/>
        </w:rPr>
        <w:t xml:space="preserve">Anexo. Ejemplo de sesión: 30 casos activos</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3D3D3D"/>
          <w:sz w:val="22"/>
          <w:szCs w:val="22"/>
        </w:rPr>
        <w:t xml:space="preserve">Este anexo ilustra cómo funciona una sesión ordinaria de la Mesa de Soluciones Innovadoras cuando el equipo de gestores presenta 30 casos activos de niñas, niños y adolescentes con discapacidad. Es un ejemplo orientador —los nombres, municipios y detalles son ficticios— diseñado para que los equipos comprendan el nivel de análisis esperado, cómo se organizan las decisiones y cómo se activan las alianzas cuando la oferta sectorial no es suficiente.</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00629B"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Datos de la sesión de ejemplo</w:t>
            </w:r>
          </w:p>
        </w:tc>
      </w:tr>
      <w:tr>
        <w:tc>
          <w:tcPr>
            <w:tcW w:type="dxa" w:w="9638"/>
            <w:tcBorders>
              <w:top w:val="none" w:color="FFFFFF" w:sz="0"/>
              <w:left w:val="none" w:color="FFFFFF" w:sz="0"/>
              <w:bottom w:val="none" w:color="FFFFFF" w:sz="0"/>
              <w:right w:val="none" w:color="FFFFFF" w:sz="0"/>
            </w:tcBorders>
            <w:shd w:fill="EAF3FB" w:val="clear"/>
            <w:tcMar>
              <w:top w:type="dxa" w:w="55"/>
              <w:left w:type="dxa" w:w="180"/>
              <w:bottom w:type="dxa" w:w="55"/>
              <w:right w:type="dxa" w:w="180"/>
            </w:tcMar>
          </w:tcPr>
          <w:p>
            <w:pPr>
              <w:spacing w:after="0" w:before="0"/>
            </w:pPr>
            <w:r>
              <w:rPr>
                <w:rFonts w:ascii="Arial" w:cs="Arial" w:eastAsia="Arial" w:hAnsi="Arial"/>
                <w:color w:val="3D3D3D"/>
                <w:sz w:val="21"/>
                <w:szCs w:val="21"/>
              </w:rPr>
              <w:t xml:space="preserve">Municipio: municipio de tamaño intermedio, zona andina, 120.000 habitantes.</w:t>
            </w:r>
          </w:p>
        </w:tc>
      </w:tr>
      <w:tr>
        <w:tc>
          <w:tcPr>
            <w:tcW w:type="dxa" w:w="9638"/>
            <w:tcBorders>
              <w:top w:val="none" w:color="FFFFFF" w:sz="0"/>
              <w:left w:val="none" w:color="FFFFFF" w:sz="0"/>
              <w:bottom w:val="none" w:color="FFFFFF" w:sz="0"/>
              <w:right w:val="none" w:color="FFFFFF" w:sz="0"/>
            </w:tcBorders>
            <w:shd w:fill="EAF3FB" w:val="clear"/>
            <w:tcMar>
              <w:top w:type="dxa" w:w="55"/>
              <w:left w:type="dxa" w:w="180"/>
              <w:bottom w:type="dxa" w:w="55"/>
              <w:right w:type="dxa" w:w="180"/>
            </w:tcMar>
          </w:tcPr>
          <w:p>
            <w:pPr>
              <w:spacing w:after="0" w:before="0"/>
            </w:pPr>
            <w:r>
              <w:rPr>
                <w:rFonts w:ascii="Arial" w:cs="Arial" w:eastAsia="Arial" w:hAnsi="Arial"/>
                <w:color w:val="3D3D3D"/>
                <w:sz w:val="21"/>
                <w:szCs w:val="21"/>
              </w:rPr>
              <w:t xml:space="preserve">Fecha: sesión ordinaria del mes de octubre.</w:t>
            </w:r>
          </w:p>
        </w:tc>
      </w:tr>
      <w:tr>
        <w:tc>
          <w:tcPr>
            <w:tcW w:type="dxa" w:w="9638"/>
            <w:tcBorders>
              <w:top w:val="none" w:color="FFFFFF" w:sz="0"/>
              <w:left w:val="none" w:color="FFFFFF" w:sz="0"/>
              <w:bottom w:val="none" w:color="FFFFFF" w:sz="0"/>
              <w:right w:val="none" w:color="FFFFFF" w:sz="0"/>
            </w:tcBorders>
            <w:shd w:fill="EAF3FB" w:val="clear"/>
            <w:tcMar>
              <w:top w:type="dxa" w:w="55"/>
              <w:left w:type="dxa" w:w="180"/>
              <w:bottom w:type="dxa" w:w="55"/>
              <w:right w:type="dxa" w:w="180"/>
            </w:tcMar>
          </w:tcPr>
          <w:p>
            <w:pPr>
              <w:spacing w:after="0" w:before="0"/>
            </w:pPr>
            <w:r>
              <w:rPr>
                <w:rFonts w:ascii="Arial" w:cs="Arial" w:eastAsia="Arial" w:hAnsi="Arial"/>
                <w:color w:val="3D3D3D"/>
                <w:sz w:val="21"/>
                <w:szCs w:val="21"/>
              </w:rPr>
              <w:t xml:space="preserve">Integrantes presentes: coordinadora de la Mesa (Secretaría de Desarrollo Social), equipo de gestores (3 gestoras), referente de salud, referente de educación, referente de protección social (ICBF), referente de género.</w:t>
            </w:r>
          </w:p>
        </w:tc>
      </w:tr>
      <w:tr>
        <w:tc>
          <w:tcPr>
            <w:tcW w:type="dxa" w:w="9638"/>
            <w:tcBorders>
              <w:top w:val="none" w:color="FFFFFF" w:sz="0"/>
              <w:left w:val="none" w:color="FFFFFF" w:sz="0"/>
              <w:bottom w:val="none" w:color="FFFFFF" w:sz="0"/>
              <w:right w:val="none" w:color="FFFFFF" w:sz="0"/>
            </w:tcBorders>
            <w:shd w:fill="EAF3FB" w:val="clear"/>
            <w:tcMar>
              <w:top w:type="dxa" w:w="55"/>
              <w:left w:type="dxa" w:w="180"/>
              <w:bottom w:type="dxa" w:w="55"/>
              <w:right w:type="dxa" w:w="180"/>
            </w:tcMar>
          </w:tcPr>
          <w:p>
            <w:pPr>
              <w:spacing w:after="0" w:before="0"/>
            </w:pPr>
            <w:r>
              <w:rPr>
                <w:rFonts w:ascii="Arial" w:cs="Arial" w:eastAsia="Arial" w:hAnsi="Arial"/>
                <w:color w:val="3D3D3D"/>
                <w:sz w:val="21"/>
                <w:szCs w:val="21"/>
              </w:rPr>
              <w:t xml:space="preserve">Invitados: representante del Servicio Nacional de Aprendizaje (por agenda de inclusión laboral de cuidadoras), representante de fundación empresarial local (por agenda de alianza público-privada).</w:t>
            </w:r>
          </w:p>
        </w:tc>
      </w:tr>
      <w:tr>
        <w:tc>
          <w:tcPr>
            <w:tcW w:type="dxa" w:w="9638"/>
            <w:tcBorders>
              <w:top w:val="none" w:color="FFFFFF" w:sz="0"/>
              <w:left w:val="none" w:color="FFFFFF" w:sz="0"/>
              <w:bottom w:val="none" w:color="FFFFFF" w:sz="0"/>
              <w:right w:val="none" w:color="FFFFFF" w:sz="0"/>
            </w:tcBorders>
            <w:shd w:fill="EAF3FB" w:val="clear"/>
            <w:tcMar>
              <w:top w:type="dxa" w:w="55"/>
              <w:left w:type="dxa" w:w="180"/>
              <w:bottom w:type="dxa" w:w="55"/>
              <w:right w:type="dxa" w:w="180"/>
            </w:tcMar>
          </w:tcPr>
          <w:p>
            <w:pPr>
              <w:spacing w:after="0" w:before="0"/>
            </w:pPr>
            <w:r>
              <w:rPr>
                <w:rFonts w:ascii="Arial" w:cs="Arial" w:eastAsia="Arial" w:hAnsi="Arial"/>
                <w:color w:val="3D3D3D"/>
                <w:sz w:val="21"/>
                <w:szCs w:val="21"/>
              </w:rPr>
              <w:t xml:space="preserve">Casos activos en el período: 30 niñas, niños y adolescentes con discapacidad entre 0 y 17 años.</w:t>
            </w:r>
          </w:p>
        </w:tc>
      </w:tr>
    </w:tbl>
    <w:p>
      <w:pPr>
        <w:spacing w:after="0" w:before="80"/>
      </w:pPr>
    </w:p>
    <w:p>
      <w:pPr>
        <w:pStyle w:val="Heading2"/>
        <w:spacing w:after="80" w:before="220"/>
      </w:pPr>
      <w:r>
        <w:rPr>
          <w:rFonts w:ascii="Arial" w:cs="Arial" w:eastAsia="Arial" w:hAnsi="Arial"/>
          <w:b/>
          <w:bCs/>
          <w:color w:val="1CABE2"/>
          <w:sz w:val="26"/>
          <w:szCs w:val="26"/>
        </w:rPr>
        <w:t xml:space="preserve">A.1 Reporte consolidado de gestores — Los 30 casos</w:t>
      </w:r>
    </w:p>
    <w:p>
      <w:pPr>
        <w:spacing w:after="60" w:before="60"/>
        <w:jc w:val="both"/>
      </w:pPr>
      <w:r>
        <w:rPr>
          <w:rFonts w:ascii="Arial" w:cs="Arial" w:eastAsia="Arial" w:hAnsi="Arial"/>
          <w:b w:val="false"/>
          <w:bCs w:val="false"/>
          <w:i w:val="false"/>
          <w:iCs w:val="false"/>
          <w:color w:val="3D3D3D"/>
          <w:sz w:val="22"/>
          <w:szCs w:val="22"/>
        </w:rPr>
        <w:t xml:space="preserve">El equipo de gestores presenta el reporte en los cuatro niveles. Se reproduce a continuación el resumen que entra a la sesión.</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00"/>
        <w:gridCol w:w="800"/>
        <w:gridCol w:w="1600"/>
        <w:gridCol w:w="2600"/>
        <w:gridCol w:w="4138"/>
      </w:tblGrid>
      <w:tr>
        <w:tc>
          <w:tcPr>
            <w:tcW w:type="dxa" w:w="500"/>
            <w:tcBorders>
              <w:top w:val="single" w:color="00629B" w:sz="6"/>
              <w:left w:val="single" w:color="00629B" w:sz="6"/>
              <w:bottom w:val="single" w:color="00629B" w:sz="6"/>
              <w:right w:val="single" w:color="00629B" w:sz="6"/>
            </w:tcBorders>
            <w:shd w:fill="00629B" w:val="clear"/>
            <w:tcMar>
              <w:top w:type="dxa" w:w="60"/>
              <w:left w:type="dxa" w:w="80"/>
              <w:bottom w:type="dxa" w:w="60"/>
              <w:right w:type="dxa" w:w="80"/>
            </w:tcMar>
          </w:tcPr>
          <w:p>
            <w:pPr>
              <w:spacing w:after="0" w:before="0"/>
            </w:pPr>
            <w:r>
              <w:rPr>
                <w:rFonts w:ascii="Arial" w:cs="Arial" w:eastAsia="Arial" w:hAnsi="Arial"/>
                <w:b/>
                <w:bCs/>
                <w:color w:val="FFFFFF"/>
                <w:sz w:val="18"/>
                <w:szCs w:val="18"/>
              </w:rPr>
              <w:t xml:space="preserve">Caso</w:t>
            </w:r>
          </w:p>
        </w:tc>
        <w:tc>
          <w:tcPr>
            <w:tcW w:type="dxa" w:w="800"/>
            <w:tcBorders>
              <w:top w:val="single" w:color="00629B" w:sz="6"/>
              <w:left w:val="single" w:color="00629B" w:sz="6"/>
              <w:bottom w:val="single" w:color="00629B" w:sz="6"/>
              <w:right w:val="single" w:color="00629B" w:sz="6"/>
            </w:tcBorders>
            <w:shd w:fill="00629B" w:val="clear"/>
            <w:tcMar>
              <w:top w:type="dxa" w:w="60"/>
              <w:left w:type="dxa" w:w="80"/>
              <w:bottom w:type="dxa" w:w="60"/>
              <w:right w:type="dxa" w:w="80"/>
            </w:tcMar>
          </w:tcPr>
          <w:p>
            <w:pPr>
              <w:spacing w:after="0" w:before="0"/>
            </w:pPr>
            <w:r>
              <w:rPr>
                <w:rFonts w:ascii="Arial" w:cs="Arial" w:eastAsia="Arial" w:hAnsi="Arial"/>
                <w:b/>
                <w:bCs/>
                <w:color w:val="FFFFFF"/>
                <w:sz w:val="18"/>
                <w:szCs w:val="18"/>
              </w:rPr>
              <w:t xml:space="preserve">Edad / sexo</w:t>
            </w:r>
          </w:p>
        </w:tc>
        <w:tc>
          <w:tcPr>
            <w:tcW w:type="dxa" w:w="1600"/>
            <w:tcBorders>
              <w:top w:val="single" w:color="00629B" w:sz="6"/>
              <w:left w:val="single" w:color="00629B" w:sz="6"/>
              <w:bottom w:val="single" w:color="00629B" w:sz="6"/>
              <w:right w:val="single" w:color="00629B" w:sz="6"/>
            </w:tcBorders>
            <w:shd w:fill="00629B" w:val="clear"/>
            <w:tcMar>
              <w:top w:type="dxa" w:w="60"/>
              <w:left w:type="dxa" w:w="80"/>
              <w:bottom w:type="dxa" w:w="60"/>
              <w:right w:type="dxa" w:w="80"/>
            </w:tcMar>
          </w:tcPr>
          <w:p>
            <w:pPr>
              <w:spacing w:after="0" w:before="0"/>
            </w:pPr>
            <w:r>
              <w:rPr>
                <w:rFonts w:ascii="Arial" w:cs="Arial" w:eastAsia="Arial" w:hAnsi="Arial"/>
                <w:b/>
                <w:bCs/>
                <w:color w:val="FFFFFF"/>
                <w:sz w:val="18"/>
                <w:szCs w:val="18"/>
              </w:rPr>
              <w:t xml:space="preserve">Tipo de discapacidad</w:t>
            </w:r>
          </w:p>
        </w:tc>
        <w:tc>
          <w:tcPr>
            <w:tcW w:type="dxa" w:w="2600"/>
            <w:tcBorders>
              <w:top w:val="single" w:color="00629B" w:sz="6"/>
              <w:left w:val="single" w:color="00629B" w:sz="6"/>
              <w:bottom w:val="single" w:color="00629B" w:sz="6"/>
              <w:right w:val="single" w:color="00629B" w:sz="6"/>
            </w:tcBorders>
            <w:shd w:fill="00629B" w:val="clear"/>
            <w:tcMar>
              <w:top w:type="dxa" w:w="60"/>
              <w:left w:type="dxa" w:w="80"/>
              <w:bottom w:type="dxa" w:w="60"/>
              <w:right w:type="dxa" w:w="80"/>
            </w:tcMar>
          </w:tcPr>
          <w:p>
            <w:pPr>
              <w:spacing w:after="0" w:before="0"/>
            </w:pPr>
            <w:r>
              <w:rPr>
                <w:rFonts w:ascii="Arial" w:cs="Arial" w:eastAsia="Arial" w:hAnsi="Arial"/>
                <w:b/>
                <w:bCs/>
                <w:color w:val="FFFFFF"/>
                <w:sz w:val="18"/>
                <w:szCs w:val="18"/>
              </w:rPr>
              <w:t xml:space="preserve">Barrera principal / entorno</w:t>
            </w:r>
          </w:p>
        </w:tc>
        <w:tc>
          <w:tcPr>
            <w:tcW w:type="dxa" w:w="4138"/>
            <w:tcBorders>
              <w:top w:val="single" w:color="00629B" w:sz="6"/>
              <w:left w:val="single" w:color="00629B" w:sz="6"/>
              <w:bottom w:val="single" w:color="00629B" w:sz="6"/>
              <w:right w:val="single" w:color="00629B" w:sz="6"/>
            </w:tcBorders>
            <w:shd w:fill="00629B" w:val="clear"/>
            <w:tcMar>
              <w:top w:type="dxa" w:w="60"/>
              <w:left w:type="dxa" w:w="80"/>
              <w:bottom w:type="dxa" w:w="60"/>
              <w:right w:type="dxa" w:w="80"/>
            </w:tcMar>
          </w:tcPr>
          <w:p>
            <w:pPr>
              <w:spacing w:after="0" w:before="0"/>
            </w:pPr>
            <w:r>
              <w:rPr>
                <w:rFonts w:ascii="Arial" w:cs="Arial" w:eastAsia="Arial" w:hAnsi="Arial"/>
                <w:b/>
                <w:bCs/>
                <w:color w:val="FFFFFF"/>
                <w:sz w:val="18"/>
                <w:szCs w:val="18"/>
              </w:rPr>
              <w:t xml:space="preserve">Apoyo requerido</w:t>
            </w:r>
          </w:p>
        </w:tc>
      </w:tr>
      <w:tr>
        <w:tc>
          <w:tcPr>
            <w:tcW w:type="dxa" w:w="5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C-01</w:t>
            </w:r>
          </w:p>
        </w:tc>
        <w:tc>
          <w:tcPr>
            <w:tcW w:type="dxa" w:w="8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7 / M</w:t>
            </w:r>
          </w:p>
        </w:tc>
        <w:tc>
          <w:tcPr>
            <w:tcW w:type="dxa" w:w="1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intelectual moderada</w:t>
            </w:r>
          </w:p>
        </w:tc>
        <w:tc>
          <w:tcPr>
            <w:tcW w:type="dxa" w:w="2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Educación: sin docente de apoyo en escuela pública; repite grado sin ajustes razonables</w:t>
            </w:r>
          </w:p>
        </w:tc>
        <w:tc>
          <w:tcPr>
            <w:tcW w:type="dxa" w:w="4138"/>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Docente de apoyo; plan individual de ajustes razonables; orientación a la familia</w:t>
            </w:r>
          </w:p>
        </w:tc>
      </w:tr>
      <w:tr>
        <w:tc>
          <w:tcPr>
            <w:tcW w:type="dxa" w:w="5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C-02</w:t>
            </w:r>
          </w:p>
        </w:tc>
        <w:tc>
          <w:tcPr>
            <w:tcW w:type="dxa" w:w="8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9 / F</w:t>
            </w:r>
          </w:p>
        </w:tc>
        <w:tc>
          <w:tcPr>
            <w:tcW w:type="dxa" w:w="1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auditiva severa</w:t>
            </w:r>
          </w:p>
        </w:tc>
        <w:tc>
          <w:tcPr>
            <w:tcW w:type="dxa" w:w="2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Educación: intérprete de Lengua de Señas no disponible en municipio; comunicación con docentes nula</w:t>
            </w:r>
          </w:p>
        </w:tc>
        <w:tc>
          <w:tcPr>
            <w:tcW w:type="dxa" w:w="4138"/>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Intérprete de Lengua de Señas; capacitación docente; tecnología de apoyo auditivo</w:t>
            </w:r>
          </w:p>
        </w:tc>
      </w:tr>
      <w:tr>
        <w:tc>
          <w:tcPr>
            <w:tcW w:type="dxa" w:w="5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C-03</w:t>
            </w:r>
          </w:p>
        </w:tc>
        <w:tc>
          <w:tcPr>
            <w:tcW w:type="dxa" w:w="8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4 / M</w:t>
            </w:r>
          </w:p>
        </w:tc>
        <w:tc>
          <w:tcPr>
            <w:tcW w:type="dxa" w:w="1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Parálisis cerebral espástica</w:t>
            </w:r>
          </w:p>
        </w:tc>
        <w:tc>
          <w:tcPr>
            <w:tcW w:type="dxa" w:w="2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Salud: fisioterapia suspendida por falta de prestador en red municipal; silla de ruedas deteriorada</w:t>
            </w:r>
          </w:p>
        </w:tc>
        <w:tc>
          <w:tcPr>
            <w:tcW w:type="dxa" w:w="4138"/>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Fisioterapia semanal; silla de ruedas con posicionamiento; ayuda para transporte</w:t>
            </w:r>
          </w:p>
        </w:tc>
      </w:tr>
      <w:tr>
        <w:tc>
          <w:tcPr>
            <w:tcW w:type="dxa" w:w="5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C-04</w:t>
            </w:r>
          </w:p>
        </w:tc>
        <w:tc>
          <w:tcPr>
            <w:tcW w:type="dxa" w:w="8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14 / F</w:t>
            </w:r>
          </w:p>
        </w:tc>
        <w:tc>
          <w:tcPr>
            <w:tcW w:type="dxa" w:w="1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visual total</w:t>
            </w:r>
          </w:p>
        </w:tc>
        <w:tc>
          <w:tcPr>
            <w:tcW w:type="dxa" w:w="2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Educación: material escolar no disponible en Braille ni en audio; excluida de actividades</w:t>
            </w:r>
          </w:p>
        </w:tc>
        <w:tc>
          <w:tcPr>
            <w:tcW w:type="dxa" w:w="4138"/>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Material en Braille y audio; software lector de pantalla; ajuste curricular</w:t>
            </w:r>
          </w:p>
        </w:tc>
      </w:tr>
      <w:tr>
        <w:tc>
          <w:tcPr>
            <w:tcW w:type="dxa" w:w="5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C-05</w:t>
            </w:r>
          </w:p>
        </w:tc>
        <w:tc>
          <w:tcPr>
            <w:tcW w:type="dxa" w:w="8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6 / M</w:t>
            </w:r>
          </w:p>
        </w:tc>
        <w:tc>
          <w:tcPr>
            <w:tcW w:type="dxa" w:w="1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Trastorno del espectro autista</w:t>
            </w:r>
          </w:p>
        </w:tc>
        <w:tc>
          <w:tcPr>
            <w:tcW w:type="dxa" w:w="2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Educación: retirado de institución por comportamientos no manejados; en casa sin escolarización</w:t>
            </w:r>
          </w:p>
        </w:tc>
        <w:tc>
          <w:tcPr>
            <w:tcW w:type="dxa" w:w="4138"/>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Reintegración escolar con apoyo conductual; capacitación docente; acompañamiento familiar</w:t>
            </w:r>
          </w:p>
        </w:tc>
      </w:tr>
      <w:tr>
        <w:tc>
          <w:tcPr>
            <w:tcW w:type="dxa" w:w="5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C-06</w:t>
            </w:r>
          </w:p>
        </w:tc>
        <w:tc>
          <w:tcPr>
            <w:tcW w:type="dxa" w:w="8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11 / F</w:t>
            </w:r>
          </w:p>
        </w:tc>
        <w:tc>
          <w:tcPr>
            <w:tcW w:type="dxa" w:w="1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intelectual leve</w:t>
            </w:r>
          </w:p>
        </w:tc>
        <w:tc>
          <w:tcPr>
            <w:tcW w:type="dxa" w:w="2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Educación: promovida sin aprendizajes por presión administrativa; en riesgo de exclusión</w:t>
            </w:r>
          </w:p>
        </w:tc>
        <w:tc>
          <w:tcPr>
            <w:tcW w:type="dxa" w:w="4138"/>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Plan pedagógico diferencial; apoyo psicosocial; taller de habilidades para la vida</w:t>
            </w:r>
          </w:p>
        </w:tc>
      </w:tr>
      <w:tr>
        <w:tc>
          <w:tcPr>
            <w:tcW w:type="dxa" w:w="5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C-07</w:t>
            </w:r>
          </w:p>
        </w:tc>
        <w:tc>
          <w:tcPr>
            <w:tcW w:type="dxa" w:w="8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3 / M</w:t>
            </w:r>
          </w:p>
        </w:tc>
        <w:tc>
          <w:tcPr>
            <w:tcW w:type="dxa" w:w="1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múltiple (física + cognitiva)</w:t>
            </w:r>
          </w:p>
        </w:tc>
        <w:tc>
          <w:tcPr>
            <w:tcW w:type="dxa" w:w="2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Salud: sin certificación de discapacidad; familia no accede a programas por falta de diagnóstico</w:t>
            </w:r>
          </w:p>
        </w:tc>
        <w:tc>
          <w:tcPr>
            <w:tcW w:type="dxa" w:w="4138"/>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Valoración interdisciplinaria urgente; certificación; vinculación a programa de atención temprana</w:t>
            </w:r>
          </w:p>
        </w:tc>
      </w:tr>
      <w:tr>
        <w:tc>
          <w:tcPr>
            <w:tcW w:type="dxa" w:w="5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C-08</w:t>
            </w:r>
          </w:p>
        </w:tc>
        <w:tc>
          <w:tcPr>
            <w:tcW w:type="dxa" w:w="8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16 / F</w:t>
            </w:r>
          </w:p>
        </w:tc>
        <w:tc>
          <w:tcPr>
            <w:tcW w:type="dxa" w:w="16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auditiva moderada</w:t>
            </w:r>
          </w:p>
        </w:tc>
        <w:tc>
          <w:tcPr>
            <w:tcW w:type="dxa" w:w="26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Empleo y educación: sin acceso a formación técnica; estigma en orientación vocacional</w:t>
            </w:r>
          </w:p>
        </w:tc>
        <w:tc>
          <w:tcPr>
            <w:tcW w:type="dxa" w:w="4138"/>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Orientación vocacional inclusiva; vinculación al Servicio Nacional de Aprendizaje; mentoring</w:t>
            </w:r>
          </w:p>
        </w:tc>
      </w:tr>
      <w:tr>
        <w:tc>
          <w:tcPr>
            <w:tcW w:type="dxa" w:w="5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C-09</w:t>
            </w:r>
          </w:p>
        </w:tc>
        <w:tc>
          <w:tcPr>
            <w:tcW w:type="dxa" w:w="8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8 / M</w:t>
            </w:r>
          </w:p>
        </w:tc>
        <w:tc>
          <w:tcPr>
            <w:tcW w:type="dxa" w:w="1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Síndrome de Down</w:t>
            </w:r>
          </w:p>
        </w:tc>
        <w:tc>
          <w:tcPr>
            <w:tcW w:type="dxa" w:w="2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Educación: excluido de clases de educación física por 'riesgo'; sin participación en actividades extracurriculares</w:t>
            </w:r>
          </w:p>
        </w:tc>
        <w:tc>
          <w:tcPr>
            <w:tcW w:type="dxa" w:w="4138"/>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Ajuste razonable en educación física; protocolo de inclusión extracurricular</w:t>
            </w:r>
          </w:p>
        </w:tc>
      </w:tr>
      <w:tr>
        <w:tc>
          <w:tcPr>
            <w:tcW w:type="dxa" w:w="5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C-10</w:t>
            </w:r>
          </w:p>
        </w:tc>
        <w:tc>
          <w:tcPr>
            <w:tcW w:type="dxa" w:w="8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13 / F</w:t>
            </w:r>
          </w:p>
        </w:tc>
        <w:tc>
          <w:tcPr>
            <w:tcW w:type="dxa" w:w="1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motora (amputación miembro inferior)</w:t>
            </w:r>
          </w:p>
        </w:tc>
        <w:tc>
          <w:tcPr>
            <w:tcW w:type="dxa" w:w="2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Salud: prótesis deteriorada; lista de espera superior a 8 meses en nivel departamental</w:t>
            </w:r>
          </w:p>
        </w:tc>
        <w:tc>
          <w:tcPr>
            <w:tcW w:type="dxa" w:w="4138"/>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Gestión urgente de prótesis; fisioterapia de adaptación; apoyo psicosocial para adolescente</w:t>
            </w:r>
          </w:p>
        </w:tc>
      </w:tr>
      <w:tr>
        <w:tc>
          <w:tcPr>
            <w:tcW w:type="dxa" w:w="5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C-11</w:t>
            </w:r>
          </w:p>
        </w:tc>
        <w:tc>
          <w:tcPr>
            <w:tcW w:type="dxa" w:w="8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5 / F</w:t>
            </w:r>
          </w:p>
        </w:tc>
        <w:tc>
          <w:tcPr>
            <w:tcW w:type="dxa" w:w="1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visual parcial</w:t>
            </w:r>
          </w:p>
        </w:tc>
        <w:tc>
          <w:tcPr>
            <w:tcW w:type="dxa" w:w="2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Educación inicial: jardín sin iluminación ni materiales adaptados; maestra sin formación</w:t>
            </w:r>
          </w:p>
        </w:tc>
        <w:tc>
          <w:tcPr>
            <w:tcW w:type="dxa" w:w="4138"/>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Dotación de materiales adaptados; capacitación docente; valoración oftalmológica pendiente</w:t>
            </w:r>
          </w:p>
        </w:tc>
      </w:tr>
      <w:tr>
        <w:tc>
          <w:tcPr>
            <w:tcW w:type="dxa" w:w="5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C-12</w:t>
            </w:r>
          </w:p>
        </w:tc>
        <w:tc>
          <w:tcPr>
            <w:tcW w:type="dxa" w:w="8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15 / M</w:t>
            </w:r>
          </w:p>
        </w:tc>
        <w:tc>
          <w:tcPr>
            <w:tcW w:type="dxa" w:w="1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psicosocial (trastorno mental severo)</w:t>
            </w:r>
          </w:p>
        </w:tc>
        <w:tc>
          <w:tcPr>
            <w:tcW w:type="dxa" w:w="2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Salud mental: sin acceso a psiquiatría en municipio; crisis frecuentes sin atención</w:t>
            </w:r>
          </w:p>
        </w:tc>
        <w:tc>
          <w:tcPr>
            <w:tcW w:type="dxa" w:w="4138"/>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Atención en salud mental de urgencia; plan de manejo ambulatorio; apoyo familiar</w:t>
            </w:r>
          </w:p>
        </w:tc>
      </w:tr>
      <w:tr>
        <w:tc>
          <w:tcPr>
            <w:tcW w:type="dxa" w:w="5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C-13</w:t>
            </w:r>
          </w:p>
        </w:tc>
        <w:tc>
          <w:tcPr>
            <w:tcW w:type="dxa" w:w="8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10 / M</w:t>
            </w:r>
          </w:p>
        </w:tc>
        <w:tc>
          <w:tcPr>
            <w:tcW w:type="dxa" w:w="16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intelectual severa</w:t>
            </w:r>
          </w:p>
        </w:tc>
        <w:tc>
          <w:tcPr>
            <w:tcW w:type="dxa" w:w="26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Cuidado: madre de 72 años única cuidadora; sin relevo ni apoyos; riesgo de abandono</w:t>
            </w:r>
          </w:p>
        </w:tc>
        <w:tc>
          <w:tcPr>
            <w:tcW w:type="dxa" w:w="4138"/>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Activación de red de cuidado comunitario; valoración de medida de protección; respiro familiar</w:t>
            </w:r>
          </w:p>
        </w:tc>
      </w:tr>
      <w:tr>
        <w:tc>
          <w:tcPr>
            <w:tcW w:type="dxa" w:w="5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C-14</w:t>
            </w:r>
          </w:p>
        </w:tc>
        <w:tc>
          <w:tcPr>
            <w:tcW w:type="dxa" w:w="8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7 / F</w:t>
            </w:r>
          </w:p>
        </w:tc>
        <w:tc>
          <w:tcPr>
            <w:tcW w:type="dxa" w:w="1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Trastorno del espectro autista</w:t>
            </w:r>
          </w:p>
        </w:tc>
        <w:tc>
          <w:tcPr>
            <w:tcW w:type="dxa" w:w="2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Educación: institución solicita retirar a la niña por 'incapacidad para manejarla'; sin ruta clara</w:t>
            </w:r>
          </w:p>
        </w:tc>
        <w:tc>
          <w:tcPr>
            <w:tcW w:type="dxa" w:w="4138"/>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Ruta de permanencia escolar; acompañamiento de gestor a institución; llamado al referente ICBF</w:t>
            </w:r>
          </w:p>
        </w:tc>
      </w:tr>
      <w:tr>
        <w:tc>
          <w:tcPr>
            <w:tcW w:type="dxa" w:w="5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C-15</w:t>
            </w:r>
          </w:p>
        </w:tc>
        <w:tc>
          <w:tcPr>
            <w:tcW w:type="dxa" w:w="8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12 / M</w:t>
            </w:r>
          </w:p>
        </w:tc>
        <w:tc>
          <w:tcPr>
            <w:tcW w:type="dxa" w:w="16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física (mielomeningocele)</w:t>
            </w:r>
          </w:p>
        </w:tc>
        <w:tc>
          <w:tcPr>
            <w:tcW w:type="dxa" w:w="26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Infraestructura: escuela sin rampas ni baños adaptados; llega en brazos cada día</w:t>
            </w:r>
          </w:p>
        </w:tc>
        <w:tc>
          <w:tcPr>
            <w:tcW w:type="dxa" w:w="4138"/>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Alerta de accesibilidad a Secretaría de Educación; plan de adecuaciones físicas urgente</w:t>
            </w:r>
          </w:p>
        </w:tc>
      </w:tr>
      <w:tr>
        <w:tc>
          <w:tcPr>
            <w:tcW w:type="dxa" w:w="5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C-16</w:t>
            </w:r>
          </w:p>
        </w:tc>
        <w:tc>
          <w:tcPr>
            <w:tcW w:type="dxa" w:w="8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2 / F</w:t>
            </w:r>
          </w:p>
        </w:tc>
        <w:tc>
          <w:tcPr>
            <w:tcW w:type="dxa" w:w="1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Síndrome de West (epilepsia severa)</w:t>
            </w:r>
          </w:p>
        </w:tc>
        <w:tc>
          <w:tcPr>
            <w:tcW w:type="dxa" w:w="2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Salud: medicamento anticonvulsivo no disponible en farmacia municipal desde hace 3 meses</w:t>
            </w:r>
          </w:p>
        </w:tc>
        <w:tc>
          <w:tcPr>
            <w:tcW w:type="dxa" w:w="4138"/>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Gestión urgente de medicamento ante Secretaría de Salud; alerta de abastecimiento</w:t>
            </w:r>
          </w:p>
        </w:tc>
      </w:tr>
      <w:tr>
        <w:tc>
          <w:tcPr>
            <w:tcW w:type="dxa" w:w="5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C-17</w:t>
            </w:r>
          </w:p>
        </w:tc>
        <w:tc>
          <w:tcPr>
            <w:tcW w:type="dxa" w:w="8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9 / M</w:t>
            </w:r>
          </w:p>
        </w:tc>
        <w:tc>
          <w:tcPr>
            <w:tcW w:type="dxa" w:w="1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Hipoacusia bilateral</w:t>
            </w:r>
          </w:p>
        </w:tc>
        <w:tc>
          <w:tcPr>
            <w:tcW w:type="dxa" w:w="2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Educación: auxiliar auditivo no funciona; familia sin recursos para reparación o reemplazo</w:t>
            </w:r>
          </w:p>
        </w:tc>
        <w:tc>
          <w:tcPr>
            <w:tcW w:type="dxa" w:w="4138"/>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Gestión de audífono a través de programa departamental; capacitación familia</w:t>
            </w:r>
          </w:p>
        </w:tc>
      </w:tr>
      <w:tr>
        <w:tc>
          <w:tcPr>
            <w:tcW w:type="dxa" w:w="5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C-18</w:t>
            </w:r>
          </w:p>
        </w:tc>
        <w:tc>
          <w:tcPr>
            <w:tcW w:type="dxa" w:w="8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14 / F</w:t>
            </w:r>
          </w:p>
        </w:tc>
        <w:tc>
          <w:tcPr>
            <w:tcW w:type="dxa" w:w="16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intelectual leve + rol de cuidadora</w:t>
            </w:r>
          </w:p>
        </w:tc>
        <w:tc>
          <w:tcPr>
            <w:tcW w:type="dxa" w:w="26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Protección: cuida a su madre con discapacidad mental; fuera del sistema escolar desde hace 2 años</w:t>
            </w:r>
          </w:p>
        </w:tc>
        <w:tc>
          <w:tcPr>
            <w:tcW w:type="dxa" w:w="4138"/>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bCs/>
                <w:color w:val="E2231A"/>
                <w:sz w:val="18"/>
                <w:szCs w:val="18"/>
              </w:rPr>
              <w:t xml:space="preserve">ALERTA PROTECCIÓN: ruta Comisaría de Familia; reintegración escolar urgente; apoyo a madre</w:t>
            </w:r>
          </w:p>
        </w:tc>
      </w:tr>
      <w:tr>
        <w:tc>
          <w:tcPr>
            <w:tcW w:type="dxa" w:w="5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C-19</w:t>
            </w:r>
          </w:p>
        </w:tc>
        <w:tc>
          <w:tcPr>
            <w:tcW w:type="dxa" w:w="8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6 / M</w:t>
            </w:r>
          </w:p>
        </w:tc>
        <w:tc>
          <w:tcPr>
            <w:tcW w:type="dxa" w:w="1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física (displasia ósea)</w:t>
            </w:r>
          </w:p>
        </w:tc>
        <w:tc>
          <w:tcPr>
            <w:tcW w:type="dxa" w:w="2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Educación inicial: ingreso negado por 'no cumplir perfil'; sin argumentación legal por parte de la familia</w:t>
            </w:r>
          </w:p>
        </w:tc>
        <w:tc>
          <w:tcPr>
            <w:tcW w:type="dxa" w:w="4138"/>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Asesoría jurídica a familia; notificación formal a institución; acompañamiento de gestor</w:t>
            </w:r>
          </w:p>
        </w:tc>
      </w:tr>
      <w:tr>
        <w:tc>
          <w:tcPr>
            <w:tcW w:type="dxa" w:w="500"/>
            <w:tcBorders>
              <w:top w:val="single" w:color="CCCCCC" w:sz="3"/>
              <w:left w:val="single" w:color="CCCCCC" w:sz="3"/>
              <w:bottom w:val="single" w:color="CCCCCC" w:sz="3"/>
              <w:right w:val="single" w:color="CCCCCC" w:sz="3"/>
            </w:tcBorders>
            <w:shd w:fill="F8F0FA"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C-20</w:t>
            </w:r>
          </w:p>
        </w:tc>
        <w:tc>
          <w:tcPr>
            <w:tcW w:type="dxa" w:w="800"/>
            <w:tcBorders>
              <w:top w:val="single" w:color="CCCCCC" w:sz="3"/>
              <w:left w:val="single" w:color="CCCCCC" w:sz="3"/>
              <w:bottom w:val="single" w:color="CCCCCC" w:sz="3"/>
              <w:right w:val="single" w:color="CCCCCC" w:sz="3"/>
            </w:tcBorders>
            <w:shd w:fill="F8F0FA"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11 / F</w:t>
            </w:r>
          </w:p>
        </w:tc>
        <w:tc>
          <w:tcPr>
            <w:tcW w:type="dxa" w:w="1600"/>
            <w:tcBorders>
              <w:top w:val="single" w:color="CCCCCC" w:sz="3"/>
              <w:left w:val="single" w:color="CCCCCC" w:sz="3"/>
              <w:bottom w:val="single" w:color="CCCCCC" w:sz="3"/>
              <w:right w:val="single" w:color="CCCCCC" w:sz="3"/>
            </w:tcBorders>
            <w:shd w:fill="F8F0FA"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visual total</w:t>
            </w:r>
          </w:p>
        </w:tc>
        <w:tc>
          <w:tcPr>
            <w:tcW w:type="dxa" w:w="2600"/>
            <w:tcBorders>
              <w:top w:val="single" w:color="CCCCCC" w:sz="3"/>
              <w:left w:val="single" w:color="CCCCCC" w:sz="3"/>
              <w:bottom w:val="single" w:color="CCCCCC" w:sz="3"/>
              <w:right w:val="single" w:color="CCCCCC" w:sz="3"/>
            </w:tcBorders>
            <w:shd w:fill="F8F0FA"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Tecnología: sin dispositivo de apoyo; tableta con software de accesibilidad no disponible en municipio</w:t>
            </w:r>
          </w:p>
        </w:tc>
        <w:tc>
          <w:tcPr>
            <w:tcW w:type="dxa" w:w="4138"/>
            <w:tcBorders>
              <w:top w:val="single" w:color="CCCCCC" w:sz="3"/>
              <w:left w:val="single" w:color="CCCCCC" w:sz="3"/>
              <w:bottom w:val="single" w:color="CCCCCC" w:sz="3"/>
              <w:right w:val="single" w:color="CCCCCC" w:sz="3"/>
            </w:tcBorders>
            <w:shd w:fill="F8F0FA"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Gestión de tableta con lector de pantalla; alianza con empresa tecnológica local o donación</w:t>
            </w:r>
          </w:p>
        </w:tc>
      </w:tr>
      <w:tr>
        <w:tc>
          <w:tcPr>
            <w:tcW w:type="dxa" w:w="5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C-21</w:t>
            </w:r>
          </w:p>
        </w:tc>
        <w:tc>
          <w:tcPr>
            <w:tcW w:type="dxa" w:w="8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16 / M</w:t>
            </w:r>
          </w:p>
        </w:tc>
        <w:tc>
          <w:tcPr>
            <w:tcW w:type="dxa" w:w="16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Trastorno del espectro autista</w:t>
            </w:r>
          </w:p>
        </w:tc>
        <w:tc>
          <w:tcPr>
            <w:tcW w:type="dxa" w:w="26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Transición a vida adulta: sin oferta de formación para el trabajo; familia angustiada por futuro</w:t>
            </w:r>
          </w:p>
        </w:tc>
        <w:tc>
          <w:tcPr>
            <w:tcW w:type="dxa" w:w="4138"/>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Diseño de ruta de transición; vinculación al Servicio Nacional de Aprendizaje; alianza con empresa</w:t>
            </w:r>
          </w:p>
        </w:tc>
      </w:tr>
      <w:tr>
        <w:tc>
          <w:tcPr>
            <w:tcW w:type="dxa" w:w="5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C-22</w:t>
            </w:r>
          </w:p>
        </w:tc>
        <w:tc>
          <w:tcPr>
            <w:tcW w:type="dxa" w:w="8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8 / F</w:t>
            </w:r>
          </w:p>
        </w:tc>
        <w:tc>
          <w:tcPr>
            <w:tcW w:type="dxa" w:w="1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auditiva leve</w:t>
            </w:r>
          </w:p>
        </w:tc>
        <w:tc>
          <w:tcPr>
            <w:tcW w:type="dxa" w:w="2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Salud: diagnóstico tardío; sin seguimiento audiológico; hermana mayor asume rol de intérprete informal</w:t>
            </w:r>
          </w:p>
        </w:tc>
        <w:tc>
          <w:tcPr>
            <w:tcW w:type="dxa" w:w="4138"/>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Seguimiento audiológico; intervención con hermana mayor como cuidadora informal; orientación familiar</w:t>
            </w:r>
          </w:p>
        </w:tc>
      </w:tr>
      <w:tr>
        <w:tc>
          <w:tcPr>
            <w:tcW w:type="dxa" w:w="5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C-23</w:t>
            </w:r>
          </w:p>
        </w:tc>
        <w:tc>
          <w:tcPr>
            <w:tcW w:type="dxa" w:w="8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3 / M</w:t>
            </w:r>
          </w:p>
        </w:tc>
        <w:tc>
          <w:tcPr>
            <w:tcW w:type="dxa" w:w="1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física (espina bífida)</w:t>
            </w:r>
          </w:p>
        </w:tc>
        <w:tc>
          <w:tcPr>
            <w:tcW w:type="dxa" w:w="2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Salud: pañales y sondas no incluidos en canasta; gasto mensual de la familia insostenible</w:t>
            </w:r>
          </w:p>
        </w:tc>
        <w:tc>
          <w:tcPr>
            <w:tcW w:type="dxa" w:w="4138"/>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Alerta de canasta: gestión ante Secretaría de Salud y ICBF; exploración de cooperación técnica</w:t>
            </w:r>
          </w:p>
        </w:tc>
      </w:tr>
      <w:tr>
        <w:tc>
          <w:tcPr>
            <w:tcW w:type="dxa" w:w="5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C-24</w:t>
            </w:r>
          </w:p>
        </w:tc>
        <w:tc>
          <w:tcPr>
            <w:tcW w:type="dxa" w:w="8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13 / M</w:t>
            </w:r>
          </w:p>
        </w:tc>
        <w:tc>
          <w:tcPr>
            <w:tcW w:type="dxa" w:w="16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intelectual moderada</w:t>
            </w:r>
          </w:p>
        </w:tc>
        <w:tc>
          <w:tcPr>
            <w:tcW w:type="dxa" w:w="26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Recreación y cultura: excluido de grupos juveniles; aislamiento social; sin espacios de participación</w:t>
            </w:r>
          </w:p>
        </w:tc>
        <w:tc>
          <w:tcPr>
            <w:tcW w:type="dxa" w:w="4138"/>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Vinculación a grupo juvenil inclusivo; coordinación con Casa de la Cultura; plan de recreación</w:t>
            </w:r>
          </w:p>
        </w:tc>
      </w:tr>
      <w:tr>
        <w:tc>
          <w:tcPr>
            <w:tcW w:type="dxa" w:w="5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C-25</w:t>
            </w:r>
          </w:p>
        </w:tc>
        <w:tc>
          <w:tcPr>
            <w:tcW w:type="dxa" w:w="8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5 / F</w:t>
            </w:r>
          </w:p>
        </w:tc>
        <w:tc>
          <w:tcPr>
            <w:tcW w:type="dxa" w:w="16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Síndrome de Down</w:t>
            </w:r>
          </w:p>
        </w:tc>
        <w:tc>
          <w:tcPr>
            <w:tcW w:type="dxa" w:w="2600"/>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Atención temprana: lista de espera de 7 meses para fonoaudiología; desarrollo del lenguaje comprometido</w:t>
            </w:r>
          </w:p>
        </w:tc>
        <w:tc>
          <w:tcPr>
            <w:tcW w:type="dxa" w:w="4138"/>
            <w:tcBorders>
              <w:top w:val="single" w:color="CCCCCC" w:sz="3"/>
              <w:left w:val="single" w:color="CCCCCC" w:sz="3"/>
              <w:bottom w:val="single" w:color="CCCCCC" w:sz="3"/>
              <w:right w:val="single" w:color="CCCCCC" w:sz="3"/>
            </w:tcBorders>
            <w:shd w:fill="F5F5F5"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Gestión urgente de fonoaudiología; orientación a padres para estimulación en casa; alianza con universidad</w:t>
            </w:r>
          </w:p>
        </w:tc>
      </w:tr>
      <w:tr>
        <w:tc>
          <w:tcPr>
            <w:tcW w:type="dxa" w:w="5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C-26</w:t>
            </w:r>
          </w:p>
        </w:tc>
        <w:tc>
          <w:tcPr>
            <w:tcW w:type="dxa" w:w="8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17 / M</w:t>
            </w:r>
          </w:p>
        </w:tc>
        <w:tc>
          <w:tcPr>
            <w:tcW w:type="dxa" w:w="1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motora (parálisis cerebral)</w:t>
            </w:r>
          </w:p>
        </w:tc>
        <w:tc>
          <w:tcPr>
            <w:tcW w:type="dxa" w:w="2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Educación media: grado 11, sin plan de transición; excluido de actividades de orientación vocacional</w:t>
            </w:r>
          </w:p>
        </w:tc>
        <w:tc>
          <w:tcPr>
            <w:tcW w:type="dxa" w:w="4138"/>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Plan de transición educativa-laboral; articulación con Servicio Nacional de Aprendizaje; apoyo psicosocial</w:t>
            </w:r>
          </w:p>
        </w:tc>
      </w:tr>
      <w:tr>
        <w:tc>
          <w:tcPr>
            <w:tcW w:type="dxa" w:w="5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C-27</w:t>
            </w:r>
          </w:p>
        </w:tc>
        <w:tc>
          <w:tcPr>
            <w:tcW w:type="dxa" w:w="8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10 / F</w:t>
            </w:r>
          </w:p>
        </w:tc>
        <w:tc>
          <w:tcPr>
            <w:tcW w:type="dxa" w:w="16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intelectual leve</w:t>
            </w:r>
          </w:p>
        </w:tc>
        <w:tc>
          <w:tcPr>
            <w:tcW w:type="dxa" w:w="26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Cuidado: padre único cuidador, trabajo informal; niña sola en casa durante jornada laboral</w:t>
            </w:r>
          </w:p>
        </w:tc>
        <w:tc>
          <w:tcPr>
            <w:tcW w:type="dxa" w:w="4138"/>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Centro de día o programa de permanencia escolar ampliada; apoyo socioeconómico a familia</w:t>
            </w:r>
          </w:p>
        </w:tc>
      </w:tr>
      <w:tr>
        <w:tc>
          <w:tcPr>
            <w:tcW w:type="dxa" w:w="5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C-28</w:t>
            </w:r>
          </w:p>
        </w:tc>
        <w:tc>
          <w:tcPr>
            <w:tcW w:type="dxa" w:w="8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4 / M</w:t>
            </w:r>
          </w:p>
        </w:tc>
        <w:tc>
          <w:tcPr>
            <w:tcW w:type="dxa" w:w="1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Trastorno del espectro autista</w:t>
            </w:r>
          </w:p>
        </w:tc>
        <w:tc>
          <w:tcPr>
            <w:tcW w:type="dxa" w:w="2600"/>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Educación inicial: sin diagnóstico formal; jardín sin estrategias; familia negando situación</w:t>
            </w:r>
          </w:p>
        </w:tc>
        <w:tc>
          <w:tcPr>
            <w:tcW w:type="dxa" w:w="4138"/>
            <w:tcBorders>
              <w:top w:val="single" w:color="CCCCCC" w:sz="3"/>
              <w:left w:val="single" w:color="CCCCCC" w:sz="3"/>
              <w:bottom w:val="single" w:color="CCCCCC" w:sz="3"/>
              <w:right w:val="single" w:color="CCCCCC" w:sz="3"/>
            </w:tcBorders>
            <w:shd w:fill="EAF6FD"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Valoración diagnóstica; acompañamiento familiar sensible; capacitación docente inicial</w:t>
            </w:r>
          </w:p>
        </w:tc>
      </w:tr>
      <w:tr>
        <w:tc>
          <w:tcPr>
            <w:tcW w:type="dxa" w:w="5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C-29</w:t>
            </w:r>
          </w:p>
        </w:tc>
        <w:tc>
          <w:tcPr>
            <w:tcW w:type="dxa" w:w="8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15 / F</w:t>
            </w:r>
          </w:p>
        </w:tc>
        <w:tc>
          <w:tcPr>
            <w:tcW w:type="dxa" w:w="16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psicosocial</w:t>
            </w:r>
          </w:p>
        </w:tc>
        <w:tc>
          <w:tcPr>
            <w:tcW w:type="dxa" w:w="2600"/>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Protección: situación de violencia doméstica en el hogar; cuidadora principal con depresión severa</w:t>
            </w:r>
          </w:p>
        </w:tc>
        <w:tc>
          <w:tcPr>
            <w:tcW w:type="dxa" w:w="4138"/>
            <w:tcBorders>
              <w:top w:val="single" w:color="CCCCCC" w:sz="3"/>
              <w:left w:val="single" w:color="CCCCCC" w:sz="3"/>
              <w:bottom w:val="single" w:color="CCCCCC" w:sz="3"/>
              <w:right w:val="single" w:color="CCCCCC" w:sz="3"/>
            </w:tcBorders>
            <w:shd w:fill="FEF5EE"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Activación de ruta de violencias; apoyo psicosocial a cuidadora; plan de protección para la adolescente</w:t>
            </w:r>
          </w:p>
        </w:tc>
      </w:tr>
      <w:tr>
        <w:tc>
          <w:tcPr>
            <w:tcW w:type="dxa" w:w="5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bCs/>
                <w:color w:val="3D3D3D"/>
                <w:sz w:val="18"/>
                <w:szCs w:val="18"/>
              </w:rPr>
              <w:t xml:space="preserve">C-30</w:t>
            </w:r>
          </w:p>
        </w:tc>
        <w:tc>
          <w:tcPr>
            <w:tcW w:type="dxa" w:w="8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7 / M</w:t>
            </w:r>
          </w:p>
        </w:tc>
        <w:tc>
          <w:tcPr>
            <w:tcW w:type="dxa" w:w="1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Discapacidad auditiva severa + discapacidad visual parcial (sordo-ceguera)</w:t>
            </w:r>
          </w:p>
        </w:tc>
        <w:tc>
          <w:tcPr>
            <w:tcW w:type="dxa" w:w="2600"/>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Salud y educación: caso extremadamente complejo; sin oferta especializada en municipio ni departamento</w:t>
            </w:r>
          </w:p>
        </w:tc>
        <w:tc>
          <w:tcPr>
            <w:tcW w:type="dxa" w:w="4138"/>
            <w:tcBorders>
              <w:top w:val="single" w:color="CCCCCC" w:sz="3"/>
              <w:left w:val="single" w:color="CCCCCC" w:sz="3"/>
              <w:bottom w:val="single" w:color="CCCCCC" w:sz="3"/>
              <w:right w:val="single" w:color="CCCCCC" w:sz="3"/>
            </w:tcBorders>
            <w:shd w:fill="F0FAF0" w:val="clear"/>
            <w:tcMar>
              <w:top w:type="dxa" w:w="50"/>
              <w:left w:type="dxa" w:w="80"/>
              <w:bottom w:type="dxa" w:w="50"/>
              <w:right w:type="dxa" w:w="80"/>
            </w:tcMar>
          </w:tcPr>
          <w:p>
            <w:pPr>
              <w:spacing w:after="0" w:before="0"/>
            </w:pPr>
            <w:r>
              <w:rPr>
                <w:rFonts w:ascii="Arial" w:cs="Arial" w:eastAsia="Arial" w:hAnsi="Arial"/>
                <w:b w:val="false"/>
                <w:bCs w:val="false"/>
                <w:color w:val="3D3D3D"/>
                <w:sz w:val="18"/>
                <w:szCs w:val="18"/>
              </w:rPr>
              <w:t xml:space="preserve">Caso complejo: coordinación nacional urgente; alianza con Instituto Nacional para Ciegos e Instituto Nacional para Sordos; cooperación técnica</w:t>
            </w:r>
          </w:p>
        </w:tc>
      </w:tr>
    </w:tbl>
    <w:p>
      <w:pPr>
        <w:spacing w:after="20" w:before="60"/>
      </w:pPr>
    </w:p>
    <w:p>
      <w:pPr>
        <w:spacing w:after="60" w:before="60"/>
        <w:jc w:val="both"/>
      </w:pPr>
      <w:r>
        <w:rPr>
          <w:rFonts w:ascii="Arial" w:cs="Arial" w:eastAsia="Arial" w:hAnsi="Arial"/>
          <w:b w:val="false"/>
          <w:bCs w:val="false"/>
          <w:i/>
          <w:iCs/>
          <w:color w:val="666666"/>
          <w:sz w:val="19"/>
          <w:szCs w:val="19"/>
        </w:rPr>
        <w:t xml:space="preserve">Lectura del color de filas: fondo azul claro = barrera en educación · fondo verde claro = barrera en salud · fondo naranja claro = barrera en cuidado o protección · fondo lila = barrera tecnológica · fondo rojo claro = alerta de protección prioritaria.</w:t>
      </w:r>
    </w:p>
    <w:p>
      <w:pPr>
        <w:spacing w:after="0" w:before="80"/>
      </w:pPr>
    </w:p>
    <w:p>
      <w:r>
        <w:br w:type="page"/>
      </w:r>
    </w:p>
    <w:p>
      <w:pPr>
        <w:pStyle w:val="Heading2"/>
        <w:spacing w:after="80" w:before="220"/>
      </w:pPr>
      <w:r>
        <w:rPr>
          <w:rFonts w:ascii="Arial" w:cs="Arial" w:eastAsia="Arial" w:hAnsi="Arial"/>
          <w:b/>
          <w:bCs/>
          <w:color w:val="1CABE2"/>
          <w:sz w:val="26"/>
          <w:szCs w:val="26"/>
        </w:rPr>
        <w:t xml:space="preserve">A.2 Síntesis del reporte de gestores</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27"/>
        <w:gridCol w:w="1927"/>
        <w:gridCol w:w="1927"/>
        <w:gridCol w:w="1927"/>
        <w:gridCol w:w="1927"/>
      </w:tblGrid>
      <w:tr>
        <w:tc>
          <w:tcPr>
            <w:tcW w:type="dxa" w:w="1927"/>
            <w:tcBorders>
              <w:top w:val="none" w:color="FFFFFF" w:sz="0"/>
              <w:left w:val="none" w:color="FFFFFF" w:sz="0"/>
              <w:bottom w:val="none" w:color="FFFFFF" w:sz="0"/>
              <w:right w:val="none" w:color="FFFFFF" w:sz="0"/>
            </w:tcBorders>
            <w:shd w:fill="00629B"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30</w:t>
            </w:r>
          </w:p>
          <w:p>
            <w:pPr>
              <w:spacing w:after="0" w:before="0"/>
              <w:jc w:val="center"/>
            </w:pPr>
            <w:r>
              <w:rPr>
                <w:rFonts w:ascii="Arial" w:cs="Arial" w:eastAsia="Arial" w:hAnsi="Arial"/>
                <w:color w:val="FFFFFF"/>
                <w:sz w:val="19"/>
                <w:szCs w:val="19"/>
              </w:rPr>
              <w:t xml:space="preserve">Casos activos</w:t>
            </w:r>
          </w:p>
        </w:tc>
        <w:tc>
          <w:tcPr>
            <w:tcW w:type="dxa" w:w="1927"/>
            <w:tcBorders>
              <w:top w:val="none" w:color="FFFFFF" w:sz="0"/>
              <w:left w:val="none" w:color="FFFFFF" w:sz="0"/>
              <w:bottom w:val="none" w:color="FFFFFF" w:sz="0"/>
              <w:right w:val="none" w:color="FFFFFF" w:sz="0"/>
            </w:tcBorders>
            <w:shd w:fill="1CABE2"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16</w:t>
            </w:r>
          </w:p>
          <w:p>
            <w:pPr>
              <w:spacing w:after="0" w:before="0"/>
              <w:jc w:val="center"/>
            </w:pPr>
            <w:r>
              <w:rPr>
                <w:rFonts w:ascii="Arial" w:cs="Arial" w:eastAsia="Arial" w:hAnsi="Arial"/>
                <w:color w:val="FFFFFF"/>
                <w:sz w:val="19"/>
                <w:szCs w:val="19"/>
              </w:rPr>
              <w:t xml:space="preserve">Barreras en educación</w:t>
            </w:r>
          </w:p>
        </w:tc>
        <w:tc>
          <w:tcPr>
            <w:tcW w:type="dxa" w:w="1927"/>
            <w:tcBorders>
              <w:top w:val="none" w:color="FFFFFF" w:sz="0"/>
              <w:left w:val="none" w:color="FFFFFF" w:sz="0"/>
              <w:bottom w:val="none" w:color="FFFFFF" w:sz="0"/>
              <w:right w:val="none" w:color="FFFFFF" w:sz="0"/>
            </w:tcBorders>
            <w:shd w:fill="80BD41"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8</w:t>
            </w:r>
          </w:p>
          <w:p>
            <w:pPr>
              <w:spacing w:after="0" w:before="0"/>
              <w:jc w:val="center"/>
            </w:pPr>
            <w:r>
              <w:rPr>
                <w:rFonts w:ascii="Arial" w:cs="Arial" w:eastAsia="Arial" w:hAnsi="Arial"/>
                <w:color w:val="FFFFFF"/>
                <w:sz w:val="19"/>
                <w:szCs w:val="19"/>
              </w:rPr>
              <w:t xml:space="preserve">Barreras en salud</w:t>
            </w:r>
          </w:p>
        </w:tc>
        <w:tc>
          <w:tcPr>
            <w:tcW w:type="dxa" w:w="1927"/>
            <w:tcBorders>
              <w:top w:val="none" w:color="FFFFFF" w:sz="0"/>
              <w:left w:val="none" w:color="FFFFFF" w:sz="0"/>
              <w:bottom w:val="none" w:color="FFFFFF" w:sz="0"/>
              <w:right w:val="none" w:color="FFFFFF" w:sz="0"/>
            </w:tcBorders>
            <w:shd w:fill="F26A21"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4</w:t>
            </w:r>
          </w:p>
          <w:p>
            <w:pPr>
              <w:spacing w:after="0" w:before="0"/>
              <w:jc w:val="center"/>
            </w:pPr>
            <w:r>
              <w:rPr>
                <w:rFonts w:ascii="Arial" w:cs="Arial" w:eastAsia="Arial" w:hAnsi="Arial"/>
                <w:color w:val="FFFFFF"/>
                <w:sz w:val="19"/>
                <w:szCs w:val="19"/>
              </w:rPr>
              <w:t xml:space="preserve">Barreras en cuidado / protección</w:t>
            </w:r>
          </w:p>
        </w:tc>
        <w:tc>
          <w:tcPr>
            <w:tcW w:type="dxa" w:w="1927"/>
            <w:tcBorders>
              <w:top w:val="none" w:color="FFFFFF" w:sz="0"/>
              <w:left w:val="none" w:color="FFFFFF" w:sz="0"/>
              <w:bottom w:val="none" w:color="FFFFFF" w:sz="0"/>
              <w:right w:val="none" w:color="FFFFFF" w:sz="0"/>
            </w:tcBorders>
            <w:shd w:fill="374EA2"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2</w:t>
            </w:r>
          </w:p>
          <w:p>
            <w:pPr>
              <w:spacing w:after="0" w:before="0"/>
              <w:jc w:val="center"/>
            </w:pPr>
            <w:r>
              <w:rPr>
                <w:rFonts w:ascii="Arial" w:cs="Arial" w:eastAsia="Arial" w:hAnsi="Arial"/>
                <w:color w:val="FFFFFF"/>
                <w:sz w:val="19"/>
                <w:szCs w:val="19"/>
              </w:rPr>
              <w:t xml:space="preserve">Barreras tecnológicas o de canasta</w:t>
            </w:r>
          </w:p>
        </w:tc>
      </w:tr>
    </w:tbl>
    <w:p>
      <w:pPr>
        <w:spacing w:after="0" w:before="12"/>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27"/>
        <w:gridCol w:w="1927"/>
        <w:gridCol w:w="1927"/>
        <w:gridCol w:w="1927"/>
        <w:gridCol w:w="1927"/>
      </w:tblGrid>
      <w:tr>
        <w:tc>
          <w:tcPr>
            <w:tcW w:type="dxa" w:w="1927"/>
            <w:tcBorders>
              <w:top w:val="none" w:color="FFFFFF" w:sz="0"/>
              <w:left w:val="none" w:color="FFFFFF" w:sz="0"/>
              <w:bottom w:val="none" w:color="FFFFFF" w:sz="0"/>
              <w:right w:val="none" w:color="FFFFFF" w:sz="0"/>
            </w:tcBorders>
            <w:shd w:fill="E2231A"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2</w:t>
            </w:r>
          </w:p>
          <w:p>
            <w:pPr>
              <w:spacing w:after="0" w:before="0"/>
              <w:jc w:val="center"/>
            </w:pPr>
            <w:r>
              <w:rPr>
                <w:rFonts w:ascii="Arial" w:cs="Arial" w:eastAsia="Arial" w:hAnsi="Arial"/>
                <w:color w:val="FFFFFF"/>
                <w:sz w:val="19"/>
                <w:szCs w:val="19"/>
              </w:rPr>
              <w:t xml:space="preserve">Alertas de protección activas</w:t>
            </w:r>
          </w:p>
        </w:tc>
        <w:tc>
          <w:tcPr>
            <w:tcW w:type="dxa" w:w="1927"/>
            <w:tcBorders>
              <w:top w:val="none" w:color="FFFFFF" w:sz="0"/>
              <w:left w:val="none" w:color="FFFFFF" w:sz="0"/>
              <w:bottom w:val="none" w:color="FFFFFF" w:sz="0"/>
              <w:right w:val="none" w:color="FFFFFF" w:sz="0"/>
            </w:tcBorders>
            <w:shd w:fill="F26A21"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2</w:t>
            </w:r>
          </w:p>
          <w:p>
            <w:pPr>
              <w:spacing w:after="0" w:before="0"/>
              <w:jc w:val="center"/>
            </w:pPr>
            <w:r>
              <w:rPr>
                <w:rFonts w:ascii="Arial" w:cs="Arial" w:eastAsia="Arial" w:hAnsi="Arial"/>
                <w:color w:val="FFFFFF"/>
                <w:sz w:val="19"/>
                <w:szCs w:val="19"/>
              </w:rPr>
              <w:t xml:space="preserve">Niñas / adolescentes cuidadoras</w:t>
            </w:r>
          </w:p>
        </w:tc>
        <w:tc>
          <w:tcPr>
            <w:tcW w:type="dxa" w:w="1927"/>
            <w:tcBorders>
              <w:top w:val="none" w:color="FFFFFF" w:sz="0"/>
              <w:left w:val="none" w:color="FFFFFF" w:sz="0"/>
              <w:bottom w:val="none" w:color="FFFFFF" w:sz="0"/>
              <w:right w:val="none" w:color="FFFFFF" w:sz="0"/>
            </w:tcBorders>
            <w:shd w:fill="007B8A"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3</w:t>
            </w:r>
          </w:p>
          <w:p>
            <w:pPr>
              <w:spacing w:after="0" w:before="0"/>
              <w:jc w:val="center"/>
            </w:pPr>
            <w:r>
              <w:rPr>
                <w:rFonts w:ascii="Arial" w:cs="Arial" w:eastAsia="Arial" w:hAnsi="Arial"/>
                <w:color w:val="FFFFFF"/>
                <w:sz w:val="19"/>
                <w:szCs w:val="19"/>
              </w:rPr>
              <w:t xml:space="preserve">Casos sin certificación de discapacidad</w:t>
            </w:r>
          </w:p>
        </w:tc>
        <w:tc>
          <w:tcPr>
            <w:tcW w:type="dxa" w:w="1927"/>
            <w:tcBorders>
              <w:top w:val="none" w:color="FFFFFF" w:sz="0"/>
              <w:left w:val="none" w:color="FFFFFF" w:sz="0"/>
              <w:bottom w:val="none" w:color="FFFFFF" w:sz="0"/>
              <w:right w:val="none" w:color="FFFFFF" w:sz="0"/>
            </w:tcBorders>
            <w:shd w:fill="374EA2"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5</w:t>
            </w:r>
          </w:p>
          <w:p>
            <w:pPr>
              <w:spacing w:after="0" w:before="0"/>
              <w:jc w:val="center"/>
            </w:pPr>
            <w:r>
              <w:rPr>
                <w:rFonts w:ascii="Arial" w:cs="Arial" w:eastAsia="Arial" w:hAnsi="Arial"/>
                <w:color w:val="FFFFFF"/>
                <w:sz w:val="19"/>
                <w:szCs w:val="19"/>
              </w:rPr>
              <w:t xml:space="preserve">Casos que requieren alianza o cooperación</w:t>
            </w:r>
          </w:p>
        </w:tc>
        <w:tc>
          <w:tcPr>
            <w:tcW w:type="dxa" w:w="1927"/>
            <w:tcBorders>
              <w:top w:val="none" w:color="FFFFFF" w:sz="0"/>
              <w:left w:val="none" w:color="FFFFFF" w:sz="0"/>
              <w:bottom w:val="none" w:color="FFFFFF" w:sz="0"/>
              <w:right w:val="none" w:color="FFFFFF" w:sz="0"/>
            </w:tcBorders>
            <w:shd w:fill="00629B" w:val="clear"/>
            <w:tcMar>
              <w:top w:type="dxa" w:w="120"/>
              <w:left w:type="dxa" w:w="80"/>
              <w:bottom w:type="dxa" w:w="120"/>
              <w:right w:type="dxa" w:w="80"/>
            </w:tcMar>
            <w:vAlign w:val="center"/>
          </w:tcPr>
          <w:p>
            <w:pPr>
              <w:spacing w:after="30" w:before="0"/>
              <w:jc w:val="center"/>
            </w:pPr>
            <w:r>
              <w:rPr>
                <w:rFonts w:ascii="Arial" w:cs="Arial" w:eastAsia="Arial" w:hAnsi="Arial"/>
                <w:b/>
                <w:bCs/>
                <w:color w:val="FFFFFF"/>
                <w:sz w:val="48"/>
                <w:szCs w:val="48"/>
              </w:rPr>
              <w:t xml:space="preserve">3</w:t>
            </w:r>
          </w:p>
          <w:p>
            <w:pPr>
              <w:spacing w:after="0" w:before="0"/>
              <w:jc w:val="center"/>
            </w:pPr>
            <w:r>
              <w:rPr>
                <w:rFonts w:ascii="Arial" w:cs="Arial" w:eastAsia="Arial" w:hAnsi="Arial"/>
                <w:color w:val="FFFFFF"/>
                <w:sz w:val="19"/>
                <w:szCs w:val="19"/>
              </w:rPr>
              <w:t xml:space="preserve">Casos que escalan a nivel departamental o nacional</w:t>
            </w:r>
          </w:p>
        </w:tc>
      </w:tr>
    </w:tbl>
    <w:p>
      <w:pPr>
        <w:spacing w:after="0" w:before="8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E2231A"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Alertas de mejora continua identificadas en el reporte</w:t>
            </w:r>
          </w:p>
        </w:tc>
      </w:tr>
      <w:tr>
        <w:tc>
          <w:tcPr>
            <w:tcW w:type="dxa" w:w="9638"/>
            <w:tcBorders>
              <w:top w:val="none" w:color="FFFFFF" w:sz="0"/>
              <w:left w:val="none" w:color="FFFFFF" w:sz="0"/>
              <w:bottom w:val="none" w:color="FFFFFF" w:sz="0"/>
              <w:right w:val="none" w:color="FFFFFF" w:sz="0"/>
            </w:tcBorders>
            <w:shd w:fill="FEF0F0"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ALERTA EDUCACIÓN: al menos 14 de los 16 casos con barreras en educación presentan el mismo patrón: los docentes no cuentan con formación en inclusión ni con orientación de qué hacer con un estudiante con discapacidad. No es un problema de voluntad; es un problema de capacidad instalada.</w:t>
            </w:r>
          </w:p>
          <w:p>
            <w:pPr>
              <w:pStyle w:val="ListParagraph"/>
              <w:numPr>
                <w:ilvl w:val="0"/>
                <w:numId w:val="2"/>
              </w:numPr>
              <w:spacing w:after="20" w:before="20"/>
            </w:pPr>
            <w:r>
              <w:rPr>
                <w:rFonts w:ascii="Arial" w:cs="Arial" w:eastAsia="Arial" w:hAnsi="Arial"/>
                <w:color w:val="3D3D3D"/>
                <w:sz w:val="21"/>
                <w:szCs w:val="21"/>
              </w:rPr>
              <w:t xml:space="preserve">ALERTA SALUD: el medicamento anticonvulsivo del caso C-16 lleva tres meses sin abastecerse en la farmacia municipal. Es posible que otros casos presenten la misma situación sin haberlo reportado aún.</w:t>
            </w:r>
          </w:p>
          <w:p>
            <w:pPr>
              <w:pStyle w:val="ListParagraph"/>
              <w:numPr>
                <w:ilvl w:val="0"/>
                <w:numId w:val="2"/>
              </w:numPr>
              <w:spacing w:after="20" w:before="20"/>
            </w:pPr>
            <w:r>
              <w:rPr>
                <w:rFonts w:ascii="Arial" w:cs="Arial" w:eastAsia="Arial" w:hAnsi="Arial"/>
                <w:color w:val="3D3D3D"/>
                <w:sz w:val="21"/>
                <w:szCs w:val="21"/>
              </w:rPr>
              <w:t xml:space="preserve">ALERTA CANASTA: los insumos de manejo de incontinencia (pañales y sondas) para niños y niñas con lesiones de la médula espinal o espina bífida no están incluidos en ninguna canasta sectorial del municipio. El gasto recae íntegramente sobre las familias.</w:t>
            </w:r>
          </w:p>
          <w:p>
            <w:pPr>
              <w:pStyle w:val="ListParagraph"/>
              <w:numPr>
                <w:ilvl w:val="0"/>
                <w:numId w:val="2"/>
              </w:numPr>
              <w:spacing w:after="20" w:before="20"/>
            </w:pPr>
            <w:r>
              <w:rPr>
                <w:rFonts w:ascii="Arial" w:cs="Arial" w:eastAsia="Arial" w:hAnsi="Arial"/>
                <w:color w:val="3D3D3D"/>
                <w:sz w:val="21"/>
                <w:szCs w:val="21"/>
              </w:rPr>
              <w:t xml:space="preserve">ALERTA PROTECCIÓN: dos adolescentes en rol de cuidadora principal (C-18 y C-22 parcialmente). Requieren atención diferenciada e inmediata.</w:t>
            </w:r>
          </w:p>
          <w:p>
            <w:pPr>
              <w:pStyle w:val="ListParagraph"/>
              <w:numPr>
                <w:ilvl w:val="0"/>
                <w:numId w:val="2"/>
              </w:numPr>
              <w:spacing w:after="20" w:before="20"/>
            </w:pPr>
            <w:r>
              <w:rPr>
                <w:rFonts w:ascii="Arial" w:cs="Arial" w:eastAsia="Arial" w:hAnsi="Arial"/>
                <w:color w:val="3D3D3D"/>
                <w:sz w:val="21"/>
                <w:szCs w:val="21"/>
              </w:rPr>
              <w:t xml:space="preserve">ALERTA OFERTA ESPECIALIZADA: el caso C-30 (sordo-ceguera) no tiene oferta de atención en el municipio ni en el departamento. Es un caso que requiere coordinación nacional y posiblemente cooperación técnica internacional.</w:t>
            </w:r>
          </w:p>
        </w:tc>
      </w:tr>
    </w:tbl>
    <w:p>
      <w:pPr>
        <w:spacing w:after="0" w:before="80"/>
      </w:pPr>
    </w:p>
    <w:p>
      <w:r>
        <w:br w:type="page"/>
      </w:r>
    </w:p>
    <w:p>
      <w:pPr>
        <w:pStyle w:val="Heading2"/>
        <w:spacing w:after="80" w:before="220"/>
      </w:pPr>
      <w:r>
        <w:rPr>
          <w:rFonts w:ascii="Arial" w:cs="Arial" w:eastAsia="Arial" w:hAnsi="Arial"/>
          <w:b/>
          <w:bCs/>
          <w:color w:val="1CABE2"/>
          <w:sz w:val="26"/>
          <w:szCs w:val="26"/>
        </w:rPr>
        <w:t xml:space="preserve">A.3 Deliberación y decisiones de la Mesa</w:t>
      </w:r>
    </w:p>
    <w:p>
      <w:pPr>
        <w:spacing w:after="60" w:before="60"/>
        <w:jc w:val="both"/>
      </w:pPr>
      <w:r>
        <w:rPr>
          <w:rFonts w:ascii="Arial" w:cs="Arial" w:eastAsia="Arial" w:hAnsi="Arial"/>
          <w:b w:val="false"/>
          <w:bCs w:val="false"/>
          <w:i w:val="false"/>
          <w:iCs w:val="false"/>
          <w:color w:val="3D3D3D"/>
          <w:sz w:val="22"/>
          <w:szCs w:val="22"/>
        </w:rPr>
        <w:t xml:space="preserve">La Mesa prioriza cinco bloques temáticos para la deliberación. Cada bloque agrupa casos con barreras similares y genera decisiones aplicables a todos ellos.</w:t>
      </w:r>
    </w:p>
    <w:p>
      <w:pPr>
        <w:spacing w:after="0" w:before="60"/>
      </w:pPr>
    </w:p>
    <w:p>
      <w:pPr>
        <w:pStyle w:val="Heading3"/>
        <w:spacing w:after="60" w:before="160"/>
      </w:pPr>
      <w:r>
        <w:rPr>
          <w:rFonts w:ascii="Arial" w:cs="Arial" w:eastAsia="Arial" w:hAnsi="Arial"/>
          <w:b/>
          <w:bCs/>
          <w:color w:val="374EA2"/>
          <w:sz w:val="23"/>
          <w:szCs w:val="23"/>
        </w:rPr>
        <w:t xml:space="preserve">Bloque 1 — Inclusión educativa: llamado urgente a la Secretaría de Educación (16 casos)</w:t>
      </w:r>
    </w:p>
    <w:p>
      <w:pPr>
        <w:spacing w:after="60" w:before="60"/>
        <w:jc w:val="both"/>
      </w:pPr>
      <w:r>
        <w:rPr>
          <w:rFonts w:ascii="Arial" w:cs="Arial" w:eastAsia="Arial" w:hAnsi="Arial"/>
          <w:b w:val="false"/>
          <w:bCs w:val="false"/>
          <w:i w:val="false"/>
          <w:iCs w:val="false"/>
          <w:color w:val="3D3D3D"/>
          <w:sz w:val="22"/>
          <w:szCs w:val="22"/>
        </w:rPr>
        <w:t xml:space="preserve">La Mesa constata que 16 de los 30 casos presentan barreras en educación. El referente de educación reconoce que la institución no cuenta con orientación operativa sobre ajustes razonables ni con docentes de apoyo suficientes. La Mesa delibera y toma las siguientes decisiones:</w:t>
      </w:r>
    </w:p>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c>
          <w:tcPr>
            <w:tcW w:type="dxa" w:w="3662"/>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Decisión</w:t>
            </w:r>
          </w:p>
        </w:tc>
        <w:tc>
          <w:tcPr>
            <w:tcW w:type="dxa" w:w="5976"/>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Descripción y responsable</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1.1 — Plan de ajustes razonables en 5 instituciones</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La Secretaría de Educación se compromete a visitar las 5 instituciones con mayor concentración de casos (C-01, C-05, C-06, C-09, C-14, C-15) en los próximos 15 días para activar un plan de ajustes razonables con la dirección de cada institución. El gestor de cada caso acompaña la visita. Responsable: referente de educación. Plazo: 15 días.</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1.2 — Capacitación docente en inclusión</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La Secretaría de Educación gestionará con la Secretaría de Desarrollo Social una jornada de capacitación en inclusión y discapacidad para los docentes de las 5 instituciones priorizadas. Se usarán los cursos de Ágora UNICEF como insumo base. Responsable: referente de educación + coordinadora de la Mesa. Plazo: 30 días.</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1.3 — Ruta de permanencia escolar para C-14</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Para la niña C-14 (trastorno del espectro autista, en riesgo de retiro), la Mesa activa la ruta de permanencia escolar: el referente del Instituto Colombiano de Bienestar Familiar notifica formalmente a la institución que el retiro de un estudiante con discapacidad sin agotar los ajustes razonables configura una vulneración de derechos. El gestor de caso acompaña el proceso. Responsable: referente ICBF + gestor. Plazo: 5 días.</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1.4 — Accesibilidad física en C-15</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Para el caso C-15 (niño sin acceso a rampas ni baños adaptados), la Mesa genera una alerta formal a la Secretaría de Educación para la adecuación de infraestructura. Si en 30 días no hay respuesta con plan de trabajo, la alerta escala a la Mesa intersectorial de gobernanza. Responsable: referente de educación. Plazo: 30 días.</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1.5 — Intérprete de Lengua de Señas Colombiana para C-02 y C-17</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El municipio no cuenta con intérprete de Lengua de Señas en su planta. La Mesa decide explorar tres vías en paralelo: convenio con universidad local, intérprete virtual a través del Centro de Relevo, y alianza con organización de la sociedad civil de personas sordas del departamento. Responsable: referente de educación + coordinadora. Plazo de exploración: 45 días.</w:t>
            </w:r>
          </w:p>
        </w:tc>
      </w:tr>
    </w:tbl>
    <w:p>
      <w:pPr>
        <w:spacing w:after="0" w:before="100"/>
      </w:pPr>
    </w:p>
    <w:p>
      <w:pPr>
        <w:pStyle w:val="Heading3"/>
        <w:spacing w:after="60" w:before="160"/>
      </w:pPr>
      <w:r>
        <w:rPr>
          <w:rFonts w:ascii="Arial" w:cs="Arial" w:eastAsia="Arial" w:hAnsi="Arial"/>
          <w:b/>
          <w:bCs/>
          <w:color w:val="374EA2"/>
          <w:sz w:val="23"/>
          <w:szCs w:val="23"/>
        </w:rPr>
        <w:t xml:space="preserve">Bloque 2 — Provisión de apoyos de salud y rehabilitación: llamado a la Secretaría de Salud e ICBF (8 casos)</w:t>
      </w:r>
    </w:p>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c>
          <w:tcPr>
            <w:tcW w:type="dxa" w:w="3662"/>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Decisión</w:t>
            </w:r>
          </w:p>
        </w:tc>
        <w:tc>
          <w:tcPr>
            <w:tcW w:type="dxa" w:w="5976"/>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Descripción y responsable</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2.1 — Abastecimiento urgente de medicamento anticonvulsivo (C-16)</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El referente de salud activa gestión urgente ante la Secretaría de Salud para el abastecimiento del anticonvulsivo. Simultáneamente, la Mesa solicita un informe del estado del abastecimiento de medicamentos de alto costo para discapacidad en el municipio para la próxima sesión. Responsable: referente de salud. Plazo: 48 horas para el caso, 30 días para el informe.</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2.2 — Gestión de silla de ruedas con posicionamiento (C-03)</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El referente de salud gestiona ante la red departamental la priorización de C-03 para entrega de silla de ruedas con posicionamiento. Si la espera supera 60 días, la Mesa activa la alianza con fundación empresarial local para cofinanciación. Responsable: referente de salud. Plazo: 60 días.</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2.3 — Prótesis para C-10 (escalamiento departamental)</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La Mesa escala el caso C-10 al nivel departamental mediante comunicación formal de la Secretaría de Salud a la Gobernación. La espera de 8 meses es inaceptable. Responsable: referente de salud + coordinadora. Plazo: oficio enviado en 5 días.</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2.4 — Atención en salud mental para C-12 y C-29</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Para los casos de discapacidad psicosocial sin acceso a psiquiatría, la Mesa gestiona teleconsulta con psiquiatra departamental y, como medida inmediata, activa el equipo de salud mental de la Secretaría de Salud para atención de crisis. Responsable: referente de salud. Plazo: 10 días.</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2.5 — Valoración interdisciplinaria y certificación urgente (C-07, C-28)</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Los casos sin certificación de discapacidad son priorizados para valoración en la próxima jornada del equipo interdisciplinario municipal. El ICBF acompaña el proceso para C-07 dada la complejidad familiar. Responsable: referente de salud + referente ICBF. Plazo: 20 días.</w:t>
            </w:r>
          </w:p>
        </w:tc>
      </w:tr>
    </w:tbl>
    <w:p>
      <w:pPr>
        <w:spacing w:after="0" w:before="100"/>
      </w:pPr>
    </w:p>
    <w:p>
      <w:pPr>
        <w:pStyle w:val="Heading3"/>
        <w:spacing w:after="60" w:before="160"/>
      </w:pPr>
      <w:r>
        <w:rPr>
          <w:rFonts w:ascii="Arial" w:cs="Arial" w:eastAsia="Arial" w:hAnsi="Arial"/>
          <w:b/>
          <w:bCs/>
          <w:color w:val="374EA2"/>
          <w:sz w:val="23"/>
          <w:szCs w:val="23"/>
        </w:rPr>
        <w:t xml:space="preserve">Bloque 3 — Protección de cuidadores y niñas cuidadoras: llamado a ICBF, Secretaría de la Mujer y Servicio Nacional de Aprendizaje (4 casos)</w:t>
      </w:r>
    </w:p>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c>
          <w:tcPr>
            <w:tcW w:type="dxa" w:w="3662"/>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Decisión</w:t>
            </w:r>
          </w:p>
        </w:tc>
        <w:tc>
          <w:tcPr>
            <w:tcW w:type="dxa" w:w="5976"/>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Descripción y responsable</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3.1 — Ruta de protección para C-18 (adolescente cuidadora fuera del sistema escolar)</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DECISIÓN URGENTE. La Mesa activa de inmediato: (a) Comisaría de Familia para verificación de condiciones en el hogar y valoración de medida de protección si es necesaria. (b) Secretaría de Educación para reintegración escolar de C-18 con enfoque diferencial. (c) Gestión de apoyo a la madre de C-18 a través del programa de salud mental. Responsable: referente ICBF + referente género. Plazo: esta semana.</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3.2 — Intervención con hermana de C-22 (intérprete informal)</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La hermana mayor de C-22 ejerce informalmente el rol de intérprete, lo que interrumpe su propia escolarización. La Mesa activa orientación de la Comisaría de Familia para garantizar la escolarización de ambas, y gestiona el intérprete formal de la decisión 1.5 como solución estructural. Responsable: referente género + gestor. Plazo: 15 días.</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3.3 — Red de relevo para cuidadora de C-13 (abuela de 72 años)</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La Mesa activa la red comunitaria de cuidado para el caso C-13: identificación de vecinos o voluntarios capacitados para relevar a la abuela. Simultáneamente, el ICBF evalúa si existe mérito para activar medida de protección complementaria. Responsable: referente ICBF + referente de protección social. Plazo: 15 días.</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bCs/>
                <w:color w:val="3D3D3D"/>
                <w:sz w:val="21"/>
                <w:szCs w:val="21"/>
              </w:rPr>
              <w:t xml:space="preserve">DECISIÓN 3.4 — Vinculación de cuidadores al Servicio Nacional de Aprendizaje (C-27 y otros)</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El representante del Servicio Nacional de Aprendizaje confirma que existen programas de formación flexible compatibles con el rol de cuidado. La Mesa acuerda vincular al padre de C-27 y a las cuidadoras identificadas en los casos activos que lo necesiten. El gestor de cada caso hace la derivación. Responsable: representante Servicio Nacional de Aprendizaje + gestores. Plazo: 30 días.</w:t>
            </w:r>
          </w:p>
        </w:tc>
      </w:tr>
    </w:tbl>
    <w:p>
      <w:pPr>
        <w:spacing w:after="0" w:before="80"/>
      </w:pPr>
    </w:p>
    <w:p>
      <w:r>
        <w:br w:type="page"/>
      </w:r>
    </w:p>
    <w:p>
      <w:pPr>
        <w:pStyle w:val="Heading2"/>
        <w:spacing w:after="80" w:before="220"/>
      </w:pPr>
      <w:r>
        <w:rPr>
          <w:rFonts w:ascii="Arial" w:cs="Arial" w:eastAsia="Arial" w:hAnsi="Arial"/>
          <w:b/>
          <w:bCs/>
          <w:color w:val="1CABE2"/>
          <w:sz w:val="26"/>
          <w:szCs w:val="26"/>
        </w:rPr>
        <w:t xml:space="preserve">A.4 Apoyos que no están en ninguna canasta sectorial: alianza público-privada y cooperación técnica</w:t>
      </w:r>
    </w:p>
    <w:p>
      <w:pPr>
        <w:spacing w:after="60" w:before="60"/>
        <w:jc w:val="both"/>
      </w:pPr>
      <w:r>
        <w:rPr>
          <w:rFonts w:ascii="Arial" w:cs="Arial" w:eastAsia="Arial" w:hAnsi="Arial"/>
          <w:b w:val="false"/>
          <w:bCs w:val="false"/>
          <w:i w:val="false"/>
          <w:iCs w:val="false"/>
          <w:color w:val="3D3D3D"/>
          <w:sz w:val="22"/>
          <w:szCs w:val="22"/>
        </w:rPr>
        <w:t xml:space="preserve">La Mesa identifica cinco apoyos que las personas necesitan y que ningún sector puede proveer con sus instrumentos actuales. Para estos casos, la Mesa activa un mecanismo de alianza público-privada y cooperación técnica, con el compromiso de que las soluciones encontradas sean el insumo para mejorar la provisión y el abastecimiento municipal en el mediano plazo.</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F26A21"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Principio de la Mesa para los apoyos sin canasta</w:t>
            </w:r>
          </w:p>
        </w:tc>
      </w:tr>
      <w:tr>
        <w:tc>
          <w:tcPr>
            <w:tcW w:type="dxa" w:w="9638"/>
            <w:tcBorders>
              <w:top w:val="none" w:color="FFFFFF" w:sz="0"/>
              <w:left w:val="none" w:color="FFFFFF" w:sz="0"/>
              <w:bottom w:val="none" w:color="FFFFFF" w:sz="0"/>
              <w:right w:val="none" w:color="FFFFFF" w:sz="0"/>
            </w:tcBorders>
            <w:shd w:fill="FEF5EE" w:val="clear"/>
            <w:tcMar>
              <w:top w:type="dxa" w:w="55"/>
              <w:left w:type="dxa" w:w="180"/>
              <w:bottom w:type="dxa" w:w="55"/>
              <w:right w:type="dxa" w:w="180"/>
            </w:tcMar>
          </w:tcPr>
          <w:p>
            <w:pPr>
              <w:spacing w:after="0" w:before="0"/>
            </w:pPr>
            <w:r>
              <w:rPr>
                <w:rFonts w:ascii="Arial" w:cs="Arial" w:eastAsia="Arial" w:hAnsi="Arial"/>
                <w:color w:val="3D3D3D"/>
                <w:sz w:val="21"/>
                <w:szCs w:val="21"/>
              </w:rPr>
              <w:t xml:space="preserve">Cuando un apoyo que una persona con discapacidad necesita no está en ninguna canasta sectorial, la Mesa tiene dos responsabilidades simultáneas: (1) buscar una solución inmediata para esa persona, que puede venir de una alianza o de cooperación; y (2) documentar la brecha y elevarla como alerta al nivel de política pública para que el apoyo sea incluido en la canasta en el corto plazo. La solución de emergencia no reemplaza la obligación del Estado; la explicita y la hace urgente.</w:t>
            </w:r>
          </w:p>
        </w:tc>
      </w:tr>
    </w:tbl>
    <w:p>
      <w:pPr>
        <w:spacing w:after="0" w:before="8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469"/>
        <w:gridCol w:w="6169"/>
      </w:tblGrid>
      <w:tr>
        <w:tc>
          <w:tcPr>
            <w:tcW w:type="dxa" w:w="3469"/>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Brecha identificada (casos afectados)</w:t>
            </w:r>
          </w:p>
        </w:tc>
        <w:tc>
          <w:tcPr>
            <w:tcW w:type="dxa" w:w="6169"/>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Solución inmediata y solución estructural</w:t>
            </w:r>
          </w:p>
        </w:tc>
      </w:tr>
      <w:tr>
        <w:tc>
          <w:tcPr>
            <w:tcW w:type="dxa" w:w="3469"/>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BRECHA 1: Insumos de manejo de incontinencia (pañales y sondas) — C-03, C-23 y al menos 2 casos más
Ninguna canasta sectorial los incluye. Gasto mensual familiar: entre 150.000 y 300.000 pesos.</w:t>
            </w:r>
          </w:p>
        </w:tc>
        <w:tc>
          <w:tcPr>
            <w:tcW w:type="dxa" w:w="6169"/>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SOLUCIÓN INMEDIATA: La fundación empresarial presente en la Mesa se compromete a gestionar una donación inicial de insumos para los 4 casos identificados durante 3 meses.
SOLUCIÓN ESTRUCTURAL: La coordinadora de la Mesa eleva alerta formal a la Secretaría de Salud para inclusión de estos insumos en la canasta de atención domiciliaria. Plazo de respuesta: 60 días. Si no hay respuesta, escala a nivel departamental.</w:t>
            </w:r>
          </w:p>
        </w:tc>
      </w:tr>
      <w:tr>
        <w:tc>
          <w:tcPr>
            <w:tcW w:type="dxa" w:w="3469"/>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BRECHA 2: Dispositivos de tecnología de apoyo (tableta con software de accesibilidad, comunicadores aumentativos) — C-04, C-20, C-30
No disponibles en el municipio. El Instituto Nacional para Ciegos y el Instituto Nacional para Sordos tienen programas de dotación pero los tiempos de respuesta superan el año.</w:t>
            </w:r>
          </w:p>
        </w:tc>
        <w:tc>
          <w:tcPr>
            <w:tcW w:type="dxa" w:w="6169"/>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SOLUCIÓN INMEDIATA: La coordinadora de la Mesa gestiona con el asesor territorial de UNICEF la posibilidad de incluir estos 3 casos en un programa de cooperación técnica con donación de dispositivos.
SOLUCIÓN ESTRUCTURAL: La Mesa acuerda incluir en el próximo presupuesto municipal una línea de inversión para tecnología de asistencia. El banco de proyectos del Modelo incluirá esta ficha.</w:t>
            </w:r>
          </w:p>
        </w:tc>
      </w:tr>
      <w:tr>
        <w:tc>
          <w:tcPr>
            <w:tcW w:type="dxa" w:w="3469"/>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BRECHA 3: Fonoaudiología para atención temprana — C-25 y otros menores de 5 años
Lista de espera de 7 meses. El municipio no tiene fonoaudióloga en planta.</w:t>
            </w:r>
          </w:p>
        </w:tc>
        <w:tc>
          <w:tcPr>
            <w:tcW w:type="dxa" w:w="6169"/>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SOLUCIÓN INMEDIATA: La coordinadora de la Mesa contacta al programa de extensión de la universidad regional para un convenio de práctica profesional supervisada que atienda los casos en lista de espera.
SOLUCIÓN ESTRUCTURAL: La Secretaría de Salud incluye en el plan de acción del próximo año la contratación de fonoaudióloga de planta o por prestación de servicios.</w:t>
            </w:r>
          </w:p>
        </w:tc>
      </w:tr>
      <w:tr>
        <w:tc>
          <w:tcPr>
            <w:tcW w:type="dxa" w:w="3469"/>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BRECHA 4: Centros de día o programa de permanencia para niñas y niños con discapacidad severa — C-13, C-27
No existe oferta en el municipio. Las familias no pueden trabajar ni descansar sin dejar al niño o niña sin supervisión.</w:t>
            </w:r>
          </w:p>
        </w:tc>
        <w:tc>
          <w:tcPr>
            <w:tcW w:type="dxa" w:w="6169"/>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SOLUCIÓN INMEDIATA: La Mesa explora con la Casa de la Cultura y el parque comunitario la habilitación de un espacio de permanencia dos días a la semana con voluntarios capacitados por el Modelo.
SOLUCIÓN ESTRUCTURAL: La Mesa eleva propuesta a la Mesa intersectorial de gobernanza para la creación de un servicio de centro de día con financiamiento del Sistema General de Participaciones.</w:t>
            </w:r>
          </w:p>
        </w:tc>
      </w:tr>
      <w:tr>
        <w:tc>
          <w:tcPr>
            <w:tcW w:type="dxa" w:w="3469"/>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3D3D3D"/>
                <w:sz w:val="21"/>
                <w:szCs w:val="21"/>
              </w:rPr>
              <w:t xml:space="preserve">BRECHA 5: Atención especializada para sordo-ceguera — C-30
No existe ninguna oferta en el municipio ni en el departamento. Caso de alta complejidad.</w:t>
            </w:r>
          </w:p>
        </w:tc>
        <w:tc>
          <w:tcPr>
            <w:tcW w:type="dxa" w:w="6169"/>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3D3D3D"/>
                <w:sz w:val="21"/>
                <w:szCs w:val="21"/>
              </w:rPr>
              <w:t xml:space="preserve">SOLUCIÓN INMEDIATA: La coordinadora de la Mesa contacta directamente al Instituto Nacional para Ciegos y al Instituto Nacional para Sordos para evaluación del caso. Simultáneamente, el asesor de UNICEF explora si existe cooperación técnica disponible con organizaciones internacionales especializadas en sordo-ceguera (Helen Keller International u otras).
SOLUCIÓN ESTRUCTURAL: Alerta formal al Ministerio de Salud y al Ministerio de Educación para que el caso sea atendido en el nivel nacional.</w:t>
            </w:r>
          </w:p>
        </w:tc>
      </w:tr>
    </w:tbl>
    <w:p>
      <w:pPr>
        <w:spacing w:after="0" w:before="100"/>
      </w:pPr>
    </w:p>
    <w:p>
      <w:r>
        <w:br w:type="page"/>
      </w:r>
    </w:p>
    <w:p>
      <w:pPr>
        <w:pStyle w:val="Heading2"/>
        <w:spacing w:after="80" w:before="220"/>
      </w:pPr>
      <w:r>
        <w:rPr>
          <w:rFonts w:ascii="Arial" w:cs="Arial" w:eastAsia="Arial" w:hAnsi="Arial"/>
          <w:b/>
          <w:bCs/>
          <w:color w:val="1CABE2"/>
          <w:sz w:val="26"/>
          <w:szCs w:val="26"/>
        </w:rPr>
        <w:t xml:space="preserve">A.5 Llamado al mejoramiento de provisión y abastecimiento en el municipio</w:t>
      </w:r>
    </w:p>
    <w:p>
      <w:pPr>
        <w:spacing w:after="60" w:before="60"/>
        <w:jc w:val="both"/>
      </w:pPr>
      <w:r>
        <w:rPr>
          <w:rFonts w:ascii="Arial" w:cs="Arial" w:eastAsia="Arial" w:hAnsi="Arial"/>
          <w:b w:val="false"/>
          <w:bCs w:val="false"/>
          <w:i w:val="false"/>
          <w:iCs w:val="false"/>
          <w:color w:val="3D3D3D"/>
          <w:sz w:val="22"/>
          <w:szCs w:val="22"/>
        </w:rPr>
        <w:t xml:space="preserve">Con base en los 30 casos analizados, la Mesa genera un llamado formal al mejoramiento de la provisión y el abastecimiento de apoyos y servicios para personas con discapacidad en el municipio. Este llamado se eleva a la Mesa intersectorial de gobernanza para que se traduzca en decisiones de política pública y presupuesto.</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1CABE2"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Llamado 1 — Secretaría de Educación: mejorar la provisión de servicios de inclusión educativa</w:t>
            </w:r>
          </w:p>
        </w:tc>
      </w:tr>
      <w:tr>
        <w:tc>
          <w:tcPr>
            <w:tcW w:type="dxa" w:w="9638"/>
            <w:tcBorders>
              <w:top w:val="none" w:color="FFFFFF" w:sz="0"/>
              <w:left w:val="none" w:color="FFFFFF" w:sz="0"/>
              <w:bottom w:val="none" w:color="FFFFFF" w:sz="0"/>
              <w:right w:val="none" w:color="FFFFFF" w:sz="0"/>
            </w:tcBorders>
            <w:shd w:fill="EAF6FD"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Garantizar al menos un docente de apoyo o un gestor de caso con dedicación exclusiva por cada 10 estudiantes con discapacidad en el sistema.</w:t>
            </w:r>
          </w:p>
          <w:p>
            <w:pPr>
              <w:pStyle w:val="ListParagraph"/>
              <w:numPr>
                <w:ilvl w:val="0"/>
                <w:numId w:val="2"/>
              </w:numPr>
              <w:spacing w:after="20" w:before="20"/>
            </w:pPr>
            <w:r>
              <w:rPr>
                <w:rFonts w:ascii="Arial" w:cs="Arial" w:eastAsia="Arial" w:hAnsi="Arial"/>
                <w:color w:val="3D3D3D"/>
                <w:sz w:val="21"/>
                <w:szCs w:val="21"/>
              </w:rPr>
              <w:t xml:space="preserve">Adoptar el protocolo de ajustes razonables del Ministerio de Educación Nacional como procedimiento obligatorio en todas las instituciones educativas del municipio.</w:t>
            </w:r>
          </w:p>
          <w:p>
            <w:pPr>
              <w:pStyle w:val="ListParagraph"/>
              <w:numPr>
                <w:ilvl w:val="0"/>
                <w:numId w:val="2"/>
              </w:numPr>
              <w:spacing w:after="20" w:before="20"/>
            </w:pPr>
            <w:r>
              <w:rPr>
                <w:rFonts w:ascii="Arial" w:cs="Arial" w:eastAsia="Arial" w:hAnsi="Arial"/>
                <w:color w:val="3D3D3D"/>
                <w:sz w:val="21"/>
                <w:szCs w:val="21"/>
              </w:rPr>
              <w:t xml:space="preserve">Incluir en el Plan Anual de Cargos la contratación de un intérprete de Lengua de Señas Colombiana para el municipio.</w:t>
            </w:r>
          </w:p>
          <w:p>
            <w:pPr>
              <w:pStyle w:val="ListParagraph"/>
              <w:numPr>
                <w:ilvl w:val="0"/>
                <w:numId w:val="2"/>
              </w:numPr>
              <w:spacing w:after="20" w:before="20"/>
            </w:pPr>
            <w:r>
              <w:rPr>
                <w:rFonts w:ascii="Arial" w:cs="Arial" w:eastAsia="Arial" w:hAnsi="Arial"/>
                <w:color w:val="3D3D3D"/>
                <w:sz w:val="21"/>
                <w:szCs w:val="21"/>
              </w:rPr>
              <w:t xml:space="preserve">Destinar recursos del Sistema General de Participaciones para adecuaciones de accesibilidad física en al menos 3 instituciones por año hasta alcanzar la totalidad de la planta física.</w:t>
            </w:r>
          </w:p>
          <w:p>
            <w:pPr>
              <w:pStyle w:val="ListParagraph"/>
              <w:numPr>
                <w:ilvl w:val="0"/>
                <w:numId w:val="2"/>
              </w:numPr>
              <w:spacing w:after="20" w:before="20"/>
            </w:pPr>
            <w:r>
              <w:rPr>
                <w:rFonts w:ascii="Arial" w:cs="Arial" w:eastAsia="Arial" w:hAnsi="Arial"/>
                <w:color w:val="3D3D3D"/>
                <w:sz w:val="21"/>
                <w:szCs w:val="21"/>
              </w:rPr>
              <w:t xml:space="preserve">Diseñar e implementar un plan de formación docente en inclusión que cubra el 100% de los docentes en 2 años, usando los cursos de Ágora UNICEF como insumo.</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80BD41"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Llamado 2 — Secretaría de Salud: mejorar el abastecimiento y la red de rehabilitación</w:t>
            </w:r>
          </w:p>
        </w:tc>
      </w:tr>
      <w:tr>
        <w:tc>
          <w:tcPr>
            <w:tcW w:type="dxa" w:w="9638"/>
            <w:tcBorders>
              <w:top w:val="none" w:color="FFFFFF" w:sz="0"/>
              <w:left w:val="none" w:color="FFFFFF" w:sz="0"/>
              <w:bottom w:val="none" w:color="FFFFFF" w:sz="0"/>
              <w:right w:val="none" w:color="FFFFFF" w:sz="0"/>
            </w:tcBorders>
            <w:shd w:fill="F0FAF0"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Garantizar el abastecimiento continuo y sin interrupciones de medicamentos de alto costo y de uso crónico para personas con discapacidad en la farmacia municipal.</w:t>
            </w:r>
          </w:p>
          <w:p>
            <w:pPr>
              <w:pStyle w:val="ListParagraph"/>
              <w:numPr>
                <w:ilvl w:val="0"/>
                <w:numId w:val="2"/>
              </w:numPr>
              <w:spacing w:after="20" w:before="20"/>
            </w:pPr>
            <w:r>
              <w:rPr>
                <w:rFonts w:ascii="Arial" w:cs="Arial" w:eastAsia="Arial" w:hAnsi="Arial"/>
                <w:color w:val="3D3D3D"/>
                <w:sz w:val="21"/>
                <w:szCs w:val="21"/>
              </w:rPr>
              <w:t xml:space="preserve">Ampliar la canasta de atención domiciliaria para incluir insumos de manejo de incontinencia (pañales y sondas) para niñas, niños y adolescentes con lesiones medulares o espina bífida.</w:t>
            </w:r>
          </w:p>
          <w:p>
            <w:pPr>
              <w:pStyle w:val="ListParagraph"/>
              <w:numPr>
                <w:ilvl w:val="0"/>
                <w:numId w:val="2"/>
              </w:numPr>
              <w:spacing w:after="20" w:before="20"/>
            </w:pPr>
            <w:r>
              <w:rPr>
                <w:rFonts w:ascii="Arial" w:cs="Arial" w:eastAsia="Arial" w:hAnsi="Arial"/>
                <w:color w:val="3D3D3D"/>
                <w:sz w:val="21"/>
                <w:szCs w:val="21"/>
              </w:rPr>
              <w:t xml:space="preserve">Contratar o establecer convenio para servicios de fisioterapia y fonoaudiología en el municipio, eliminando la dependencia del nivel departamental para atenciones de alta frecuencia.</w:t>
            </w:r>
          </w:p>
          <w:p>
            <w:pPr>
              <w:pStyle w:val="ListParagraph"/>
              <w:numPr>
                <w:ilvl w:val="0"/>
                <w:numId w:val="2"/>
              </w:numPr>
              <w:spacing w:after="20" w:before="20"/>
            </w:pPr>
            <w:r>
              <w:rPr>
                <w:rFonts w:ascii="Arial" w:cs="Arial" w:eastAsia="Arial" w:hAnsi="Arial"/>
                <w:color w:val="3D3D3D"/>
                <w:sz w:val="21"/>
                <w:szCs w:val="21"/>
              </w:rPr>
              <w:t xml:space="preserve">Establecer un protocolo de priorización para la entrega de ayudas técnicas (sillas de ruedas, prótesis, audífonos) que garantice tiempos de respuesta menores a 60 días.</w:t>
            </w:r>
          </w:p>
          <w:p>
            <w:pPr>
              <w:pStyle w:val="ListParagraph"/>
              <w:numPr>
                <w:ilvl w:val="0"/>
                <w:numId w:val="2"/>
              </w:numPr>
              <w:spacing w:after="20" w:before="20"/>
            </w:pPr>
            <w:r>
              <w:rPr>
                <w:rFonts w:ascii="Arial" w:cs="Arial" w:eastAsia="Arial" w:hAnsi="Arial"/>
                <w:color w:val="3D3D3D"/>
                <w:sz w:val="21"/>
                <w:szCs w:val="21"/>
              </w:rPr>
              <w:t xml:space="preserve">Ampliar la oferta de salud mental en el municipio: incluir teleconsulta de psiquiatría y fortalecer el equipo de salud mental comunitaria.</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F26A21"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Llamado 3 — Secretaría de Desarrollo Social e ICBF: mejorar la provisión de apoyos al cuidado</w:t>
            </w:r>
          </w:p>
        </w:tc>
      </w:tr>
      <w:tr>
        <w:tc>
          <w:tcPr>
            <w:tcW w:type="dxa" w:w="9638"/>
            <w:tcBorders>
              <w:top w:val="none" w:color="FFFFFF" w:sz="0"/>
              <w:left w:val="none" w:color="FFFFFF" w:sz="0"/>
              <w:bottom w:val="none" w:color="FFFFFF" w:sz="0"/>
              <w:right w:val="none" w:color="FFFFFF" w:sz="0"/>
            </w:tcBorders>
            <w:shd w:fill="FEF5EE"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Crear o fortalecer un servicio de relevo o respiro familiar para cuidadores de personas con discapacidad severa, con al menos dos jornadas semanales.</w:t>
            </w:r>
          </w:p>
          <w:p>
            <w:pPr>
              <w:pStyle w:val="ListParagraph"/>
              <w:numPr>
                <w:ilvl w:val="0"/>
                <w:numId w:val="2"/>
              </w:numPr>
              <w:spacing w:after="20" w:before="20"/>
            </w:pPr>
            <w:r>
              <w:rPr>
                <w:rFonts w:ascii="Arial" w:cs="Arial" w:eastAsia="Arial" w:hAnsi="Arial"/>
                <w:color w:val="3D3D3D"/>
                <w:sz w:val="21"/>
                <w:szCs w:val="21"/>
              </w:rPr>
              <w:t xml:space="preserve">Establecer en el próximo Plan de Desarrollo Municipal una línea de inversión específica para tecnología de asistencia, con meta de dotación de al menos 10 dispositivos por año.</w:t>
            </w:r>
          </w:p>
          <w:p>
            <w:pPr>
              <w:pStyle w:val="ListParagraph"/>
              <w:numPr>
                <w:ilvl w:val="0"/>
                <w:numId w:val="2"/>
              </w:numPr>
              <w:spacing w:after="20" w:before="20"/>
            </w:pPr>
            <w:r>
              <w:rPr>
                <w:rFonts w:ascii="Arial" w:cs="Arial" w:eastAsia="Arial" w:hAnsi="Arial"/>
                <w:color w:val="3D3D3D"/>
                <w:sz w:val="21"/>
                <w:szCs w:val="21"/>
              </w:rPr>
              <w:t xml:space="preserve">Gestionar la creación de un centro de día o servicio de permanencia para niñas y niños con discapacidad en edad escolar, articulado con la jornada educativa.</w:t>
            </w:r>
          </w:p>
          <w:p>
            <w:pPr>
              <w:pStyle w:val="ListParagraph"/>
              <w:numPr>
                <w:ilvl w:val="0"/>
                <w:numId w:val="2"/>
              </w:numPr>
              <w:spacing w:after="20" w:before="20"/>
            </w:pPr>
            <w:r>
              <w:rPr>
                <w:rFonts w:ascii="Arial" w:cs="Arial" w:eastAsia="Arial" w:hAnsi="Arial"/>
                <w:color w:val="3D3D3D"/>
                <w:sz w:val="21"/>
                <w:szCs w:val="21"/>
              </w:rPr>
              <w:t xml:space="preserve">Garantizar la identificación, registro y atención de todas las niñas y adolescentes cuidadoras en el municipio, con articulación entre Comisaría de Familia, ICBF y Secretaría de la Mujer.</w:t>
            </w:r>
          </w:p>
          <w:p>
            <w:pPr>
              <w:pStyle w:val="ListParagraph"/>
              <w:numPr>
                <w:ilvl w:val="0"/>
                <w:numId w:val="2"/>
              </w:numPr>
              <w:spacing w:after="20" w:before="20"/>
            </w:pPr>
            <w:r>
              <w:rPr>
                <w:rFonts w:ascii="Arial" w:cs="Arial" w:eastAsia="Arial" w:hAnsi="Arial"/>
                <w:color w:val="3D3D3D"/>
                <w:sz w:val="21"/>
                <w:szCs w:val="21"/>
              </w:rPr>
              <w:t xml:space="preserve">Destinar recursos para la vinculación de cuidadores a programas de formación y empleo, con modalidades flexibles y compatibles con el rol de cuidado.</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374EA2"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Llamado 4 — Mesa intersectorial de gobernanza: decisiones de política y presupuesto</w:t>
            </w:r>
          </w:p>
        </w:tc>
      </w:tr>
      <w:tr>
        <w:tc>
          <w:tcPr>
            <w:tcW w:type="dxa" w:w="9638"/>
            <w:tcBorders>
              <w:top w:val="none" w:color="FFFFFF" w:sz="0"/>
              <w:left w:val="none" w:color="FFFFFF" w:sz="0"/>
              <w:bottom w:val="none" w:color="FFFFFF" w:sz="0"/>
              <w:right w:val="none" w:color="FFFFFF" w:sz="0"/>
            </w:tcBorders>
            <w:shd w:fill="F0F0FA" w:val="clear"/>
            <w:tcMar>
              <w:top w:type="dxa" w:w="100"/>
              <w:left w:type="dxa" w:w="200"/>
              <w:bottom w:type="dxa" w:w="100"/>
              <w:right w:type="dxa" w:w="180"/>
            </w:tcMar>
          </w:tcPr>
          <w:p>
            <w:pPr>
              <w:pStyle w:val="ListParagraph"/>
              <w:numPr>
                <w:ilvl w:val="0"/>
                <w:numId w:val="2"/>
              </w:numPr>
              <w:spacing w:after="20" w:before="20"/>
            </w:pPr>
            <w:r>
              <w:rPr>
                <w:rFonts w:ascii="Arial" w:cs="Arial" w:eastAsia="Arial" w:hAnsi="Arial"/>
                <w:color w:val="3D3D3D"/>
                <w:sz w:val="21"/>
                <w:szCs w:val="21"/>
              </w:rPr>
              <w:t xml:space="preserve">Incluir en el próximo presupuesto municipal una línea específica para el Sistema Local de Cuidados y Apoyos Inclusivos, con financiamiento mínimo equivalente al costo de atención de los casos activos.</w:t>
            </w:r>
          </w:p>
          <w:p>
            <w:pPr>
              <w:pStyle w:val="ListParagraph"/>
              <w:numPr>
                <w:ilvl w:val="0"/>
                <w:numId w:val="2"/>
              </w:numPr>
              <w:spacing w:after="20" w:before="20"/>
            </w:pPr>
            <w:r>
              <w:rPr>
                <w:rFonts w:ascii="Arial" w:cs="Arial" w:eastAsia="Arial" w:hAnsi="Arial"/>
                <w:color w:val="3D3D3D"/>
                <w:sz w:val="21"/>
                <w:szCs w:val="21"/>
              </w:rPr>
              <w:t xml:space="preserve">Formalizar la alianza público-privada con la fundación empresarial local mediante convenio de cooperación que establezca compromisos plurianuales de provisión de apoyos.</w:t>
            </w:r>
          </w:p>
          <w:p>
            <w:pPr>
              <w:pStyle w:val="ListParagraph"/>
              <w:numPr>
                <w:ilvl w:val="0"/>
                <w:numId w:val="2"/>
              </w:numPr>
              <w:spacing w:after="20" w:before="20"/>
            </w:pPr>
            <w:r>
              <w:rPr>
                <w:rFonts w:ascii="Arial" w:cs="Arial" w:eastAsia="Arial" w:hAnsi="Arial"/>
                <w:color w:val="3D3D3D"/>
                <w:sz w:val="21"/>
                <w:szCs w:val="21"/>
              </w:rPr>
              <w:t xml:space="preserve">Gestionar ante el Gobierno departamental la ampliación de la oferta de servicios especializados para personas con discapacidad, incluyendo centro de rehabilitación y atención a sordo-ceguera.</w:t>
            </w:r>
          </w:p>
          <w:p>
            <w:pPr>
              <w:pStyle w:val="ListParagraph"/>
              <w:numPr>
                <w:ilvl w:val="0"/>
                <w:numId w:val="2"/>
              </w:numPr>
              <w:spacing w:after="20" w:before="20"/>
            </w:pPr>
            <w:r>
              <w:rPr>
                <w:rFonts w:ascii="Arial" w:cs="Arial" w:eastAsia="Arial" w:hAnsi="Arial"/>
                <w:color w:val="3D3D3D"/>
                <w:sz w:val="21"/>
                <w:szCs w:val="21"/>
              </w:rPr>
              <w:t xml:space="preserve">Elevar al Ministerio de Salud y al Ministerio de Educación las cinco brechas de canasta identificadas en esta sesión, con evidencia de los casos que las sustentan.</w:t>
            </w:r>
          </w:p>
        </w:tc>
      </w:tr>
    </w:tbl>
    <w:p>
      <w:pPr>
        <w:spacing w:after="0" w:before="80"/>
      </w:pPr>
    </w:p>
    <w:p>
      <w:pPr>
        <w:pStyle w:val="Heading2"/>
        <w:spacing w:after="80" w:before="220"/>
      </w:pPr>
      <w:r>
        <w:rPr>
          <w:rFonts w:ascii="Arial" w:cs="Arial" w:eastAsia="Arial" w:hAnsi="Arial"/>
          <w:b/>
          <w:bCs/>
          <w:color w:val="1CABE2"/>
          <w:sz w:val="26"/>
          <w:szCs w:val="26"/>
        </w:rPr>
        <w:t xml:space="preserve">A.6 Resumen de compromisos de la sesión</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313"/>
        <w:gridCol w:w="5011"/>
        <w:gridCol w:w="2314"/>
      </w:tblGrid>
      <w:tr>
        <w:tc>
          <w:tcPr>
            <w:tcW w:type="dxa" w:w="2313"/>
            <w:tcBorders>
              <w:top w:val="single" w:color="00629B" w:sz="6"/>
              <w:left w:val="single" w:color="00629B" w:sz="6"/>
              <w:bottom w:val="single" w:color="00629B" w:sz="6"/>
              <w:right w:val="single" w:color="00629B" w:sz="6"/>
            </w:tcBorders>
            <w:shd w:fill="00629B" w:val="clear"/>
            <w:tcMar>
              <w:top w:type="dxa" w:w="80"/>
              <w:left w:type="dxa" w:w="100"/>
              <w:bottom w:type="dxa" w:w="80"/>
              <w:right w:type="dxa" w:w="100"/>
            </w:tcMar>
          </w:tcPr>
          <w:p>
            <w:pPr>
              <w:spacing w:after="0" w:before="0"/>
            </w:pPr>
            <w:r>
              <w:rPr>
                <w:rFonts w:ascii="Arial" w:cs="Arial" w:eastAsia="Arial" w:hAnsi="Arial"/>
                <w:b/>
                <w:bCs/>
                <w:color w:val="FFFFFF"/>
                <w:sz w:val="20"/>
                <w:szCs w:val="20"/>
              </w:rPr>
              <w:t xml:space="preserve">Actor / entidad</w:t>
            </w:r>
          </w:p>
        </w:tc>
        <w:tc>
          <w:tcPr>
            <w:tcW w:type="dxa" w:w="5011"/>
            <w:tcBorders>
              <w:top w:val="single" w:color="00629B" w:sz="6"/>
              <w:left w:val="single" w:color="00629B" w:sz="6"/>
              <w:bottom w:val="single" w:color="00629B" w:sz="6"/>
              <w:right w:val="single" w:color="00629B" w:sz="6"/>
            </w:tcBorders>
            <w:shd w:fill="00629B" w:val="clear"/>
            <w:tcMar>
              <w:top w:type="dxa" w:w="80"/>
              <w:left w:type="dxa" w:w="100"/>
              <w:bottom w:type="dxa" w:w="80"/>
              <w:right w:type="dxa" w:w="100"/>
            </w:tcMar>
          </w:tcPr>
          <w:p>
            <w:pPr>
              <w:spacing w:after="0" w:before="0"/>
            </w:pPr>
            <w:r>
              <w:rPr>
                <w:rFonts w:ascii="Arial" w:cs="Arial" w:eastAsia="Arial" w:hAnsi="Arial"/>
                <w:b/>
                <w:bCs/>
                <w:color w:val="FFFFFF"/>
                <w:sz w:val="20"/>
                <w:szCs w:val="20"/>
              </w:rPr>
              <w:t xml:space="preserve">Compromisos adquiridos</w:t>
            </w:r>
          </w:p>
        </w:tc>
        <w:tc>
          <w:tcPr>
            <w:tcW w:type="dxa" w:w="2314"/>
            <w:tcBorders>
              <w:top w:val="single" w:color="00629B" w:sz="6"/>
              <w:left w:val="single" w:color="00629B" w:sz="6"/>
              <w:bottom w:val="single" w:color="00629B" w:sz="6"/>
              <w:right w:val="single" w:color="00629B" w:sz="6"/>
            </w:tcBorders>
            <w:shd w:fill="00629B" w:val="clear"/>
            <w:tcMar>
              <w:top w:type="dxa" w:w="80"/>
              <w:left w:type="dxa" w:w="100"/>
              <w:bottom w:type="dxa" w:w="80"/>
              <w:right w:type="dxa" w:w="100"/>
            </w:tcMar>
          </w:tcPr>
          <w:p>
            <w:pPr>
              <w:spacing w:after="0" w:before="0"/>
            </w:pPr>
            <w:r>
              <w:rPr>
                <w:rFonts w:ascii="Arial" w:cs="Arial" w:eastAsia="Arial" w:hAnsi="Arial"/>
                <w:b/>
                <w:bCs/>
                <w:color w:val="FFFFFF"/>
                <w:sz w:val="20"/>
                <w:szCs w:val="20"/>
              </w:rPr>
              <w:t xml:space="preserve">Plazo</w:t>
            </w:r>
          </w:p>
        </w:tc>
      </w:tr>
      <w:tr>
        <w:tc>
          <w:tcPr>
            <w:tcW w:type="dxa" w:w="2313"/>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Secretaría de Educación</w:t>
            </w:r>
          </w:p>
        </w:tc>
        <w:tc>
          <w:tcPr>
            <w:tcW w:type="dxa" w:w="5011"/>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Visitar 5 instituciones y activar planes de ajustes razonables; ruta de permanencia escolar C-14; alerta accesibilidad C-15; gestionar intérprete Lengua de Señas; jornada de capacitación docente</w:t>
            </w:r>
          </w:p>
        </w:tc>
        <w:tc>
          <w:tcPr>
            <w:tcW w:type="dxa" w:w="2314"/>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15–45 días</w:t>
            </w:r>
          </w:p>
        </w:tc>
      </w:tr>
      <w:tr>
        <w:tc>
          <w:tcPr>
            <w:tcW w:type="dxa" w:w="2313"/>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Secretaría de Salud</w:t>
            </w:r>
          </w:p>
        </w:tc>
        <w:tc>
          <w:tcPr>
            <w:tcW w:type="dxa" w:w="5011"/>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Abastecimiento urgente medicamento C-16 (48h); gestión silla de ruedas C-03; escalamiento prótesis C-10; atención en salud mental C-12 y C-29; valoración y certificación C-07 y C-28; informe de abastecimiento</w:t>
            </w:r>
          </w:p>
        </w:tc>
        <w:tc>
          <w:tcPr>
            <w:tcW w:type="dxa" w:w="231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48 horas a 30 días</w:t>
            </w:r>
          </w:p>
        </w:tc>
      </w:tr>
      <w:tr>
        <w:tc>
          <w:tcPr>
            <w:tcW w:type="dxa" w:w="2313"/>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Instituto Colombiano de Bienestar Familiar</w:t>
            </w:r>
          </w:p>
        </w:tc>
        <w:tc>
          <w:tcPr>
            <w:tcW w:type="dxa" w:w="5011"/>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Ruta de protección C-18 (esta semana); intervención C-22; evaluación medida complementaria C-13; acompañamiento certificación C-07</w:t>
            </w:r>
          </w:p>
        </w:tc>
        <w:tc>
          <w:tcPr>
            <w:tcW w:type="dxa" w:w="2314"/>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Esta semana a 20 días</w:t>
            </w:r>
          </w:p>
        </w:tc>
      </w:tr>
      <w:tr>
        <w:tc>
          <w:tcPr>
            <w:tcW w:type="dxa" w:w="2313"/>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Secretaría de Desarrollo Social / coordinadora de la Mesa</w:t>
            </w:r>
          </w:p>
        </w:tc>
        <w:tc>
          <w:tcPr>
            <w:tcW w:type="dxa" w:w="5011"/>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Vinculación cuidadores al Servicio Nacional de Aprendizaje; gestión cooperación técnica UNICEF para dispositivos; alerta formal a gobernación; propuesta centro de día a Mesa de gobernanza</w:t>
            </w:r>
          </w:p>
        </w:tc>
        <w:tc>
          <w:tcPr>
            <w:tcW w:type="dxa" w:w="231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15–45 días</w:t>
            </w:r>
          </w:p>
        </w:tc>
      </w:tr>
      <w:tr>
        <w:tc>
          <w:tcPr>
            <w:tcW w:type="dxa" w:w="2313"/>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Referente de género</w:t>
            </w:r>
          </w:p>
        </w:tc>
        <w:tc>
          <w:tcPr>
            <w:tcW w:type="dxa" w:w="5011"/>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Seguimiento semanal C-18 y C-22; verificación escolarización; articulación con Comisaría de Familia</w:t>
            </w:r>
          </w:p>
        </w:tc>
        <w:tc>
          <w:tcPr>
            <w:tcW w:type="dxa" w:w="2314"/>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Esta semana</w:t>
            </w:r>
          </w:p>
        </w:tc>
      </w:tr>
      <w:tr>
        <w:tc>
          <w:tcPr>
            <w:tcW w:type="dxa" w:w="2313"/>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Fundación empresarial local</w:t>
            </w:r>
          </w:p>
        </w:tc>
        <w:tc>
          <w:tcPr>
            <w:tcW w:type="dxa" w:w="5011"/>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Gestión donación de insumos de manejo de incontinencia para 4 casos (3 meses); exploración de convenio plurianual</w:t>
            </w:r>
          </w:p>
        </w:tc>
        <w:tc>
          <w:tcPr>
            <w:tcW w:type="dxa" w:w="231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30 días</w:t>
            </w:r>
          </w:p>
        </w:tc>
      </w:tr>
      <w:tr>
        <w:tc>
          <w:tcPr>
            <w:tcW w:type="dxa" w:w="2313"/>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Servicio Nacional de Aprendizaje</w:t>
            </w:r>
          </w:p>
        </w:tc>
        <w:tc>
          <w:tcPr>
            <w:tcW w:type="dxa" w:w="5011"/>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Vinculación de cuidadores identificados a programas de formación flexible</w:t>
            </w:r>
          </w:p>
        </w:tc>
        <w:tc>
          <w:tcPr>
            <w:tcW w:type="dxa" w:w="2314"/>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30 días</w:t>
            </w:r>
          </w:p>
        </w:tc>
      </w:tr>
      <w:tr>
        <w:tc>
          <w:tcPr>
            <w:tcW w:type="dxa" w:w="2313"/>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Asesor territorial UNICEF</w:t>
            </w:r>
          </w:p>
        </w:tc>
        <w:tc>
          <w:tcPr>
            <w:tcW w:type="dxa" w:w="5011"/>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Exploración de cooperación técnica para dispositivos de tecnología de asistencia y caso C-30 (sordo-ceguera)</w:t>
            </w:r>
          </w:p>
        </w:tc>
        <w:tc>
          <w:tcPr>
            <w:tcW w:type="dxa" w:w="231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30 días</w:t>
            </w:r>
          </w:p>
        </w:tc>
      </w:tr>
      <w:tr>
        <w:tc>
          <w:tcPr>
            <w:tcW w:type="dxa" w:w="2313"/>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b/>
                <w:bCs/>
                <w:color w:val="3D3D3D"/>
                <w:sz w:val="20"/>
                <w:szCs w:val="20"/>
              </w:rPr>
              <w:t xml:space="preserve">Próxima sesión</w:t>
            </w:r>
          </w:p>
        </w:tc>
        <w:tc>
          <w:tcPr>
            <w:tcW w:type="dxa" w:w="5011"/>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Verificación de todos los compromisos; reporte actualizado de los 30 casos; informe de abastecimiento de medicamentos; respuesta de gobernación sobre prótesis C-10</w:t>
            </w:r>
          </w:p>
        </w:tc>
        <w:tc>
          <w:tcPr>
            <w:tcW w:type="dxa" w:w="2314"/>
            <w:tcBorders>
              <w:top w:val="single" w:color="CCCCCC" w:sz="4"/>
              <w:left w:val="single" w:color="CCCCCC" w:sz="4"/>
              <w:bottom w:val="single" w:color="CCCCCC" w:sz="4"/>
              <w:right w:val="single" w:color="CCCCCC" w:sz="4"/>
            </w:tcBorders>
            <w:shd w:fill="F5F5F5" w:val="clear"/>
            <w:tcMar>
              <w:top w:type="dxa" w:w="60"/>
              <w:left w:type="dxa" w:w="100"/>
              <w:bottom w:type="dxa" w:w="60"/>
              <w:right w:type="dxa" w:w="100"/>
            </w:tcMar>
          </w:tcPr>
          <w:p>
            <w:pPr>
              <w:spacing w:after="0" w:before="0"/>
            </w:pPr>
            <w:r>
              <w:rPr>
                <w:rFonts w:ascii="Arial" w:cs="Arial" w:eastAsia="Arial" w:hAnsi="Arial"/>
                <w:color w:val="3D3D3D"/>
                <w:sz w:val="20"/>
                <w:szCs w:val="20"/>
              </w:rPr>
              <w:t xml:space="preserve">Un mes</w:t>
            </w:r>
          </w:p>
        </w:tc>
      </w:tr>
    </w:tbl>
    <w:p>
      <w:pPr>
        <w:spacing w:after="0" w:before="8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888888" w:val="clear"/>
            <w:tcMar>
              <w:top w:type="dxa" w:w="80"/>
              <w:left w:type="dxa" w:w="180"/>
              <w:bottom w:type="dxa" w:w="80"/>
              <w:right w:type="dxa" w:w="180"/>
            </w:tcMar>
          </w:tcPr>
          <w:p>
            <w:pPr>
              <w:spacing w:after="0" w:before="0"/>
            </w:pPr>
            <w:r>
              <w:rPr>
                <w:rFonts w:ascii="Arial" w:cs="Arial" w:eastAsia="Arial" w:hAnsi="Arial"/>
                <w:b/>
                <w:bCs/>
                <w:color w:val="FFFFFF"/>
                <w:sz w:val="22"/>
                <w:szCs w:val="22"/>
              </w:rPr>
              <w:t xml:space="preserve">Nota metodológica sobre este ejemplo</w:t>
            </w:r>
          </w:p>
        </w:tc>
      </w:tr>
      <w:tr>
        <w:tc>
          <w:tcPr>
            <w:tcW w:type="dxa" w:w="9638"/>
            <w:tcBorders>
              <w:top w:val="none" w:color="FFFFFF" w:sz="0"/>
              <w:left w:val="none" w:color="FFFFFF" w:sz="0"/>
              <w:bottom w:val="none" w:color="FFFFFF" w:sz="0"/>
              <w:right w:val="none" w:color="FFFFFF" w:sz="0"/>
            </w:tcBorders>
            <w:shd w:fill="F5F5F5" w:val="clear"/>
            <w:tcMar>
              <w:top w:type="dxa" w:w="55"/>
              <w:left w:type="dxa" w:w="180"/>
              <w:bottom w:type="dxa" w:w="55"/>
              <w:right w:type="dxa" w:w="180"/>
            </w:tcMar>
          </w:tcPr>
          <w:p>
            <w:pPr>
              <w:spacing w:after="0" w:before="0"/>
            </w:pPr>
            <w:r>
              <w:rPr>
                <w:rFonts w:ascii="Arial" w:cs="Arial" w:eastAsia="Arial" w:hAnsi="Arial"/>
                <w:color w:val="3D3D3D"/>
                <w:sz w:val="21"/>
                <w:szCs w:val="21"/>
              </w:rPr>
              <w:t xml:space="preserve">Los casos, nombres, municipios y datos de este ejemplo son ficticios y tienen fines exclusivamente ilustrativos. Los tipos de discapacidad, barreras y necesidades representadas son representativos de situaciones reales que enfrentan niñas, niños y adolescentes con discapacidad en municipios colombianos de tamaño intermedio. La Mesa debe adaptar su funcionamiento a las condiciones, capacidades y oferta disponibles en cada territorio.</w:t>
            </w:r>
          </w:p>
        </w:tc>
      </w:tr>
    </w:tbl>
    <w:p>
      <w:pPr>
        <w:spacing w:after="0" w:before="60"/>
      </w:pP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CABE2" w:sz="6" w:space="1"/>
      </w:pBdr>
      <w:tabs>
        <w:tab w:val="right" w:pos="9638"/>
      </w:tabs>
      <w:spacing w:after="0" w:before="60"/>
    </w:pPr>
    <w:r>
      <w:rPr>
        <w:rFonts w:ascii="Arial" w:cs="Arial" w:eastAsia="Arial" w:hAnsi="Arial"/>
        <w:color w:val="888888"/>
        <w:sz w:val="18"/>
        <w:szCs w:val="18"/>
      </w:rPr>
      <w:t xml:space="preserve">Colombia, 2025</w:t>
    </w:r>
    <w:r>
      <w:rPr>
        <w:rFonts w:ascii="Arial" w:cs="Arial" w:eastAsia="Arial" w:hAnsi="Arial"/>
      </w:rPr>
      <w:t xml:space="preserve">	</w:t>
    </w:r>
    <w:r>
      <w:rPr>
        <w:rFonts w:ascii="Arial" w:cs="Arial" w:eastAsia="Arial" w:hAnsi="Arial"/>
        <w:color w:val="00629B"/>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CABE2" w:sz="6" w:space="1"/>
      </w:pBdr>
      <w:tabs>
        <w:tab w:val="right" w:pos="9638"/>
      </w:tabs>
      <w:spacing w:after="80" w:before="0"/>
    </w:pPr>
    <w:r>
      <w:rPr>
        <w:rFonts w:ascii="Arial" w:cs="Arial" w:eastAsia="Arial" w:hAnsi="Arial"/>
        <w:color w:val="888888"/>
        <w:sz w:val="18"/>
        <w:szCs w:val="18"/>
      </w:rPr>
      <w:t xml:space="preserve">UNICEF Colombia   |   Modelo de Sistema Local de Cuidados y Apoyos Inclusivos</w:t>
    </w:r>
    <w:r>
      <w:rPr>
        <w:rFonts w:ascii="Arial" w:cs="Arial" w:eastAsia="Arial" w:hAnsi="Arial"/>
      </w:rPr>
      <w:t xml:space="preserve">	</w:t>
    </w:r>
    <w:r>
      <w:rPr>
        <w:rFonts w:ascii="Arial" w:cs="Arial" w:eastAsia="Arial" w:hAnsi="Arial"/>
        <w:i/>
        <w:iCs/>
        <w:color w:val="1CABE2"/>
        <w:sz w:val="18"/>
        <w:szCs w:val="18"/>
      </w:rPr>
      <w:t xml:space="preserve">Guía operativa — Mesa de Soluciones Innovadoras de Apoyo y Cuidado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lvl w:ilvl="1" w15:tentative="1">
      <w:start w:val="1"/>
      <w:numFmt w:val="bullet"/>
      <w:lvlText w:val="–"/>
      <w:lvlJc w:val="left"/>
      <w:pPr>
        <w:ind w:left="8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20"/>
      <w:outlineLvl w:val="0"/>
    </w:pPr>
    <w:rPr>
      <w:rFonts w:ascii="Arial" w:cs="Arial" w:eastAsia="Arial" w:hAnsi="Arial"/>
      <w:b/>
      <w:bCs/>
      <w:color w:val="00629B"/>
      <w:sz w:val="32"/>
      <w:szCs w:val="32"/>
    </w:rPr>
  </w:style>
  <w:style w:type="paragraph" w:styleId="Heading2">
    <w:name w:val="Heading 2"/>
    <w:basedOn w:val="Normal"/>
    <w:next w:val="Normal"/>
    <w:qFormat/>
    <w:pPr>
      <w:spacing w:after="80" w:before="240"/>
      <w:outlineLvl w:val="1"/>
    </w:pPr>
    <w:rPr>
      <w:rFonts w:ascii="Arial" w:cs="Arial" w:eastAsia="Arial" w:hAnsi="Arial"/>
      <w:b/>
      <w:bCs/>
      <w:color w:val="1CABE2"/>
      <w:sz w:val="26"/>
      <w:szCs w:val="26"/>
    </w:rPr>
  </w:style>
  <w:style w:type="paragraph" w:styleId="Heading3">
    <w:name w:val="Heading 3"/>
    <w:basedOn w:val="Normal"/>
    <w:next w:val="Normal"/>
    <w:qFormat/>
    <w:pPr>
      <w:spacing w:after="60" w:before="180"/>
      <w:outlineLvl w:val="2"/>
    </w:pPr>
    <w:rPr>
      <w:rFonts w:ascii="Arial" w:cs="Arial" w:eastAsia="Arial" w:hAnsi="Arial"/>
      <w:b/>
      <w:bCs/>
      <w:color w:val="374EA2"/>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2026-05-25T00:11:27.645Z</dcterms:created>
  <dcterms:modified xsi:type="dcterms:W3CDTF">2026-05-25T00:11:27.645Z</dcterms:modified>
</cp:coreProperties>
</file>

<file path=docProps/custom.xml><?xml version="1.0" encoding="utf-8"?>
<Properties xmlns="http://schemas.openxmlformats.org/officeDocument/2006/custom-properties" xmlns:vt="http://schemas.openxmlformats.org/officeDocument/2006/docPropsVTypes"/>
</file>