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560"/>
      </w:pPr>
      <w:r>
        <w:rPr>
          <w:rFonts w:ascii="Arial" w:hAnsi="Arial"/>
          <w:b/>
          <w:color w:val="009BDB"/>
          <w:sz w:val="20"/>
        </w:rPr>
        <w:t>ORIENTACIONES PRÁCTICAS</w:t>
      </w:r>
    </w:p>
    <w:p>
      <w:pPr>
        <w:pStyle w:val="Title"/>
        <w:jc w:val="left"/>
      </w:pPr>
      <w:r>
        <w:t>Guía para una Evaluación Inclusiva de Daños y Necesidades Posdesastre</w:t>
      </w:r>
    </w:p>
    <w:p>
      <w:pPr>
        <w:pStyle w:val="SubtleLead"/>
      </w:pPr>
      <w:r>
        <w:t>Cómo asegurar participación efectiva, accesibilidad, comunicación y autonomía de las personas con discapacidad en la respuesta a emergencias y la recuperación territorial en Colombia.</w:t>
      </w:r>
    </w:p>
    <w:tbl>
      <w:tblPr>
        <w:tblW w:type="auto" w:w="0"/>
        <w:tblLayout w:type="fixed"/>
        <w:tblLook w:firstColumn="1" w:firstRow="1" w:lastColumn="0" w:lastRow="0" w:noHBand="0" w:noVBand="1" w:val="04A0"/>
        <w:tblBorders>
          <w:top w:val="single" w:sz="1" w:space="0" w:color="009BDB"/>
          <w:left w:val="single" w:sz="1" w:space="0" w:color="009BDB"/>
          <w:bottom w:val="single" w:sz="1" w:space="0" w:color="009BDB"/>
          <w:right w:val="single" w:sz="1" w:space="0" w:color="009BDB"/>
          <w:insideH w:val="single" w:sz="1" w:space="0" w:color="009BDB"/>
          <w:insideV w:val="single" w:sz="1" w:space="0" w:color="009BDB"/>
        </w:tblBorders>
      </w:tblPr>
      <w:tblGrid>
        <w:gridCol w:w="9921"/>
      </w:tblGrid>
      <w:tr>
        <w:trPr>
          <w:tblHeader w:val="true"/>
        </w:trPr>
        <w:tc>
          <w:tcPr>
            <w:tcW w:type="dxa" w:w="10312"/>
            <w:shd w:fill="009BDB"/>
            <w:tcMar>
              <w:top w:w="180" w:type="dxa"/>
              <w:start w:w="180" w:type="dxa"/>
              <w:bottom w:w="180" w:type="dxa"/>
              <w:end w:w="180" w:type="dxa"/>
            </w:tcMar>
          </w:tcPr>
          <w:p>
            <w:pPr>
              <w:spacing w:after="0"/>
            </w:pPr>
            <w:r>
              <w:rPr>
                <w:rFonts w:ascii="Arial" w:hAnsi="Arial"/>
                <w:b/>
                <w:color w:val="FFFFFF"/>
                <w:sz w:val="22"/>
              </w:rPr>
              <w:t>Para líderes comunitarios, alcaldías, gobernaciones, Consejos de Gestión del Riesgo, equipos sectoriales, organismos de respuesta y organizaciones de personas con discapacidad.</w:t>
            </w:r>
          </w:p>
        </w:tc>
      </w:tr>
    </w:tbl>
    <w:p/>
    <w:p>
      <w:r>
        <w:rPr>
          <w:b/>
        </w:rPr>
        <w:t xml:space="preserve">Documento de trabajo. </w:t>
      </w:r>
      <w:r>
        <w:t>Basado en la metodología PDNA, recursos de respuesta humanitaria inclusiva de UNICEF, las Directrices IASC y el marco colombiano de gestión del riesgo y accesibilidad.</w:t>
      </w:r>
    </w:p>
    <w:tbl>
      <w:tblPr>
        <w:tblW w:type="auto" w:w="0"/>
        <w:jc w:val="center"/>
        <w:tblLayout w:type="fixed"/>
        <w:tblLook w:firstColumn="1" w:firstRow="1" w:lastColumn="0" w:lastRow="0" w:noHBand="0" w:noVBand="1" w:val="04A0"/>
        <w:tblBorders>
          <w:top w:val="single" w:sz="1" w:space="0" w:color="E8F6FC"/>
          <w:left w:val="single" w:sz="1" w:space="0" w:color="E8F6FC"/>
          <w:bottom w:val="single" w:sz="1" w:space="0" w:color="E8F6FC"/>
          <w:right w:val="single" w:sz="1" w:space="0" w:color="E8F6FC"/>
          <w:insideH w:val="single" w:sz="1" w:space="0" w:color="E8F6FC"/>
          <w:insideV w:val="single" w:sz="1" w:space="0" w:color="E8F6FC"/>
        </w:tblBorders>
      </w:tblPr>
      <w:tblGrid>
        <w:gridCol w:w="9921"/>
      </w:tblGrid>
      <w:tr>
        <w:trPr>
          <w:tblHeader w:val="true"/>
        </w:trPr>
        <w:tc>
          <w:tcPr>
            <w:tcW w:type="dxa" w:w="10312"/>
            <w:shd w:fill="E8F6FC"/>
            <w:tcMar>
              <w:top w:w="120" w:type="dxa"/>
              <w:start w:w="160" w:type="dxa"/>
              <w:bottom w:w="120" w:type="dxa"/>
              <w:end w:w="160" w:type="dxa"/>
            </w:tcMar>
          </w:tcPr>
          <w:p>
            <w:pPr>
              <w:spacing w:after="60"/>
            </w:pPr>
            <w:r>
              <w:rPr>
                <w:b/>
                <w:color w:val="009BDB"/>
                <w:sz w:val="21"/>
              </w:rPr>
              <w:t>Idea central</w:t>
            </w:r>
          </w:p>
          <w:p>
            <w:pPr>
              <w:spacing w:after="0" w:line="252" w:lineRule="auto"/>
            </w:pPr>
            <w:r>
              <w:t>Una evaluación inclusiva no pregunta solamente qué se dañó. Debe identificar quién perdió acceso, qué apoyos se interrumpieron, qué barreras nuevas creó el desastre y qué necesita cada persona para recuperar seguridad, participación y autonomía.</w:t>
            </w:r>
          </w:p>
        </w:tc>
      </w:tr>
    </w:tbl>
    <w:p>
      <w:pPr>
        <w:spacing w:after="20"/>
      </w:pPr>
    </w:p>
    <w:p>
      <w:pPr>
        <w:pStyle w:val="Heading1"/>
        <w:pageBreakBefore/>
      </w:pPr>
      <w:r>
        <w:t>1. Para qué sirve esta guía</w:t>
      </w:r>
    </w:p>
    <w:p>
      <w:r>
        <w:t>Esta guía ofrece orientaciones simples para incorporar un enfoque de discapacidad e inclusión en la evaluación de daños, afectaciones, necesidades y prioridades de recuperación después de una emergencia o desastre. Está pensada para ser utilizada en terreno por equipos públicos, comunitarios y humanitarios, sin requerir conocimientos especializados en discapacidad.</w:t>
      </w:r>
    </w:p>
    <w:p>
      <w:r>
        <w:t>En Colombia, la Evaluación de Daños y Análisis de Necesidades (EDAN) es un instrumento del Sistema Nacional de Gestión del Riesgo de Desastres. A su vez, el Post-Disaster Needs Assessment (PDNA) es una metodología internacional, liderada por los gobiernos, que integra daños, pérdidas, impactos humanos y necesidades de recuperación en una estrategia coherente. Esta guía no reemplaza ninguno de estos instrumentos: funciona como una capa transversal de inclusión que puede incorporarse a la evaluación rápida, la evaluación detallada, las evaluaciones sectoriales y la planeación de la recuperación.</w:t>
      </w:r>
    </w:p>
    <w:tbl>
      <w:tblPr>
        <w:tblW w:type="auto" w:w="0"/>
        <w:jc w:val="center"/>
        <w:tblLayout w:type="fixed"/>
        <w:tblLook w:firstColumn="1" w:firstRow="1" w:lastColumn="0" w:lastRow="0" w:noHBand="0" w:noVBand="1" w:val="04A0"/>
        <w:tblBorders>
          <w:top w:val="single" w:sz="1" w:space="0" w:color="FFF6E5"/>
          <w:left w:val="single" w:sz="1" w:space="0" w:color="FFF6E5"/>
          <w:bottom w:val="single" w:sz="1" w:space="0" w:color="FFF6E5"/>
          <w:right w:val="single" w:sz="1" w:space="0" w:color="FFF6E5"/>
          <w:insideH w:val="single" w:sz="1" w:space="0" w:color="FFF6E5"/>
          <w:insideV w:val="single" w:sz="1" w:space="0" w:color="FFF6E5"/>
        </w:tblBorders>
      </w:tblPr>
      <w:tblGrid>
        <w:gridCol w:w="9921"/>
      </w:tblGrid>
      <w:tr>
        <w:trPr>
          <w:tblHeader w:val="true"/>
        </w:trPr>
        <w:tc>
          <w:tcPr>
            <w:tcW w:type="dxa" w:w="10312"/>
            <w:shd w:fill="FFF6E5"/>
            <w:tcMar>
              <w:top w:w="120" w:type="dxa"/>
              <w:start w:w="160" w:type="dxa"/>
              <w:bottom w:w="120" w:type="dxa"/>
              <w:end w:w="160" w:type="dxa"/>
            </w:tcMar>
          </w:tcPr>
          <w:p>
            <w:pPr>
              <w:spacing w:after="60"/>
            </w:pPr>
            <w:r>
              <w:rPr>
                <w:b/>
                <w:color w:val="009BDB"/>
                <w:sz w:val="21"/>
              </w:rPr>
              <w:t>Regla práctica</w:t>
            </w:r>
          </w:p>
          <w:p>
            <w:pPr>
              <w:spacing w:after="0" w:line="252" w:lineRule="auto"/>
            </w:pPr>
            <w:r>
              <w:t>Si una ficha de evaluación puede contar viviendas destruidas, pero no permite saber si una persona perdió su silla de ruedas, si puede entrar al albergue, si entiende la información de emergencia o si dejó de recibir asistencia personal, la evaluación está incompleta.</w:t>
            </w:r>
          </w:p>
        </w:tc>
      </w:tr>
    </w:tbl>
    <w:p>
      <w:pPr>
        <w:spacing w:after="20"/>
      </w:pPr>
    </w:p>
    <w:p>
      <w:pPr>
        <w:pStyle w:val="Heading1"/>
      </w:pPr>
      <w:r>
        <w:t>2. Qué aporta el enfoque inclusivo al PDNA y al EDAN</w:t>
      </w:r>
    </w:p>
    <w:p>
      <w:r>
        <w:t>El PDNA organiza el análisis alrededor de cuatro elementos: línea de base previa al desastre; efectos del desastre; impactos; y necesidades/estrategia de recuperación. Dentro de los efectos, revisa daños a infraestructura y activos, interrupción del acceso a bienes y servicios, afectaciones a la gobernanza y toma de decisiones, y aumento de riesgos y vulnerabilidades. El enfoque inclusivo debe atravesar cada uno de estos componentes.</w:t>
      </w:r>
    </w:p>
    <w:tbl>
      <w:tblPr>
        <w:tblW w:type="auto" w:w="0"/>
        <w:jc w:val="center"/>
        <w:tblLayout w:type="fixed"/>
        <w:tblLook w:firstColumn="1" w:firstRow="1" w:lastColumn="0" w:lastRow="0" w:noHBand="0" w:noVBand="1" w:val="04A0"/>
        <w:tblBorders>
          <w:top w:val="single" w:sz="5" w:space="0" w:color="D9E2E7"/>
          <w:left w:val="single" w:sz="5" w:space="0" w:color="D9E2E7"/>
          <w:bottom w:val="single" w:sz="5" w:space="0" w:color="D9E2E7"/>
          <w:right w:val="single" w:sz="5" w:space="0" w:color="D9E2E7"/>
          <w:insideH w:val="single" w:sz="5" w:space="0" w:color="D9E2E7"/>
          <w:insideV w:val="single" w:sz="5" w:space="0" w:color="D9E2E7"/>
        </w:tblBorders>
      </w:tblPr>
      <w:tblGrid>
        <w:gridCol w:w="3437"/>
        <w:gridCol w:w="3437"/>
        <w:gridCol w:w="3437"/>
      </w:tblGrid>
      <w:tr>
        <w:trPr>
          <w:tblHeader w:val="true"/>
        </w:trPr>
        <w:tc>
          <w:tcPr>
            <w:tcW w:type="dxa" w:w="1701"/>
            <w:shd w:fill="D9F1FA"/>
            <w:tcMar>
              <w:top w:w="70" w:type="dxa"/>
              <w:start w:w="70" w:type="dxa"/>
              <w:bottom w:w="70" w:type="dxa"/>
              <w:end w:w="70" w:type="dxa"/>
            </w:tcMar>
            <w:vAlign w:val="center"/>
          </w:tcPr>
          <w:p>
            <w:pPr>
              <w:spacing w:after="0"/>
              <w:jc w:val="left"/>
            </w:pPr>
            <w:r>
              <w:rPr>
                <w:rFonts w:ascii="Arial" w:hAnsi="Arial"/>
                <w:b/>
                <w:color w:val="232D37"/>
                <w:sz w:val="17"/>
              </w:rPr>
              <w:t>Momento</w:t>
            </w:r>
          </w:p>
        </w:tc>
        <w:tc>
          <w:tcPr>
            <w:tcW w:type="dxa" w:w="2835"/>
            <w:shd w:fill="D9F1FA"/>
            <w:tcMar>
              <w:top w:w="70" w:type="dxa"/>
              <w:start w:w="70" w:type="dxa"/>
              <w:bottom w:w="70" w:type="dxa"/>
              <w:end w:w="70" w:type="dxa"/>
            </w:tcMar>
            <w:vAlign w:val="center"/>
          </w:tcPr>
          <w:p>
            <w:pPr>
              <w:spacing w:after="0"/>
              <w:jc w:val="left"/>
            </w:pPr>
            <w:r>
              <w:rPr>
                <w:rFonts w:ascii="Arial" w:hAnsi="Arial"/>
                <w:b/>
                <w:color w:val="232D37"/>
                <w:sz w:val="17"/>
              </w:rPr>
              <w:t>Pregunta que debe responder</w:t>
            </w:r>
          </w:p>
        </w:tc>
        <w:tc>
          <w:tcPr>
            <w:tcW w:type="dxa" w:w="5102"/>
            <w:shd w:fill="D9F1FA"/>
            <w:tcMar>
              <w:top w:w="70" w:type="dxa"/>
              <w:start w:w="70" w:type="dxa"/>
              <w:bottom w:w="70" w:type="dxa"/>
              <w:end w:w="70" w:type="dxa"/>
            </w:tcMar>
            <w:vAlign w:val="center"/>
          </w:tcPr>
          <w:p>
            <w:pPr>
              <w:spacing w:after="0"/>
              <w:jc w:val="left"/>
            </w:pPr>
            <w:r>
              <w:rPr>
                <w:rFonts w:ascii="Arial" w:hAnsi="Arial"/>
                <w:b/>
                <w:color w:val="232D37"/>
                <w:sz w:val="17"/>
              </w:rPr>
              <w:t>Qué agrega la mirada de discapacidad</w:t>
            </w:r>
          </w:p>
        </w:tc>
      </w:tr>
      <w:tr>
        <w:tc>
          <w:tcPr>
            <w:tcW w:type="dxa" w:w="1701"/>
            <w:tcMar>
              <w:top w:w="65" w:type="dxa"/>
              <w:start w:w="70" w:type="dxa"/>
              <w:bottom w:w="65" w:type="dxa"/>
              <w:end w:w="70" w:type="dxa"/>
            </w:tcMar>
            <w:vAlign w:val="top"/>
          </w:tcPr>
          <w:p>
            <w:pPr>
              <w:spacing w:after="0"/>
            </w:pPr>
            <w:r>
              <w:rPr>
                <w:rFonts w:ascii="Arial" w:hAnsi="Arial"/>
                <w:sz w:val="17"/>
              </w:rPr>
              <w:t>Línea de base</w:t>
            </w:r>
          </w:p>
        </w:tc>
        <w:tc>
          <w:tcPr>
            <w:tcW w:type="dxa" w:w="2835"/>
            <w:tcMar>
              <w:top w:w="65" w:type="dxa"/>
              <w:start w:w="70" w:type="dxa"/>
              <w:bottom w:w="65" w:type="dxa"/>
              <w:end w:w="70" w:type="dxa"/>
            </w:tcMar>
            <w:vAlign w:val="top"/>
          </w:tcPr>
          <w:p>
            <w:pPr>
              <w:spacing w:after="0"/>
            </w:pPr>
            <w:r>
              <w:rPr>
                <w:rFonts w:ascii="Arial" w:hAnsi="Arial"/>
                <w:sz w:val="17"/>
              </w:rPr>
              <w:t>Quiénes vivían en el territorio y qué barreras ya existían</w:t>
            </w:r>
          </w:p>
        </w:tc>
        <w:tc>
          <w:tcPr>
            <w:tcW w:type="dxa" w:w="5102"/>
            <w:tcMar>
              <w:top w:w="65" w:type="dxa"/>
              <w:start w:w="70" w:type="dxa"/>
              <w:bottom w:w="65" w:type="dxa"/>
              <w:end w:w="70" w:type="dxa"/>
            </w:tcMar>
            <w:vAlign w:val="top"/>
          </w:tcPr>
          <w:p>
            <w:pPr>
              <w:spacing w:after="0"/>
            </w:pPr>
            <w:r>
              <w:rPr>
                <w:rFonts w:ascii="Arial" w:hAnsi="Arial"/>
                <w:sz w:val="17"/>
              </w:rPr>
              <w:t>Personas con discapacidad; necesidades de apoyo; servicios y apoyos disponibles; accesibilidad previa; redes de cuidado y protección social.</w:t>
            </w:r>
          </w:p>
        </w:tc>
      </w:tr>
      <w:tr>
        <w:tc>
          <w:tcPr>
            <w:tcW w:type="dxa" w:w="1701"/>
            <w:tcMar>
              <w:top w:w="65" w:type="dxa"/>
              <w:start w:w="70" w:type="dxa"/>
              <w:bottom w:w="65" w:type="dxa"/>
              <w:end w:w="70" w:type="dxa"/>
            </w:tcMar>
            <w:vAlign w:val="top"/>
            <w:shd w:fill="FBFCFD"/>
          </w:tcPr>
          <w:p>
            <w:pPr>
              <w:spacing w:after="0"/>
            </w:pPr>
            <w:r>
              <w:rPr>
                <w:rFonts w:ascii="Arial" w:hAnsi="Arial"/>
                <w:sz w:val="17"/>
              </w:rPr>
              <w:t>Daños y efectos</w:t>
            </w:r>
          </w:p>
        </w:tc>
        <w:tc>
          <w:tcPr>
            <w:tcW w:type="dxa" w:w="2835"/>
            <w:tcMar>
              <w:top w:w="65" w:type="dxa"/>
              <w:start w:w="70" w:type="dxa"/>
              <w:bottom w:w="65" w:type="dxa"/>
              <w:end w:w="70" w:type="dxa"/>
            </w:tcMar>
            <w:vAlign w:val="top"/>
            <w:shd w:fill="FBFCFD"/>
          </w:tcPr>
          <w:p>
            <w:pPr>
              <w:spacing w:after="0"/>
            </w:pPr>
            <w:r>
              <w:rPr>
                <w:rFonts w:ascii="Arial" w:hAnsi="Arial"/>
                <w:sz w:val="17"/>
              </w:rPr>
              <w:t>Qué cambió por el desastre</w:t>
            </w:r>
          </w:p>
        </w:tc>
        <w:tc>
          <w:tcPr>
            <w:tcW w:type="dxa" w:w="5102"/>
            <w:tcMar>
              <w:top w:w="65" w:type="dxa"/>
              <w:start w:w="70" w:type="dxa"/>
              <w:bottom w:w="65" w:type="dxa"/>
              <w:end w:w="70" w:type="dxa"/>
            </w:tcMar>
            <w:vAlign w:val="top"/>
            <w:shd w:fill="FBFCFD"/>
          </w:tcPr>
          <w:p>
            <w:pPr>
              <w:spacing w:after="0"/>
            </w:pPr>
            <w:r>
              <w:rPr>
                <w:rFonts w:ascii="Arial" w:hAnsi="Arial"/>
                <w:sz w:val="17"/>
              </w:rPr>
              <w:t>Daño de ayudas técnicas; pérdida de accesibilidad de vivienda, rutas, transporte, escuelas, centros de salud y puntos de agua; interrupción de apoyos, medicamentos, rehabilitación o asistencia personal.</w:t>
            </w:r>
          </w:p>
        </w:tc>
      </w:tr>
      <w:tr>
        <w:tc>
          <w:tcPr>
            <w:tcW w:type="dxa" w:w="1701"/>
            <w:tcMar>
              <w:top w:w="65" w:type="dxa"/>
              <w:start w:w="70" w:type="dxa"/>
              <w:bottom w:w="65" w:type="dxa"/>
              <w:end w:w="70" w:type="dxa"/>
            </w:tcMar>
            <w:vAlign w:val="top"/>
          </w:tcPr>
          <w:p>
            <w:pPr>
              <w:spacing w:after="0"/>
            </w:pPr>
            <w:r>
              <w:rPr>
                <w:rFonts w:ascii="Arial" w:hAnsi="Arial"/>
                <w:sz w:val="17"/>
              </w:rPr>
              <w:t>Impactos</w:t>
            </w:r>
          </w:p>
        </w:tc>
        <w:tc>
          <w:tcPr>
            <w:tcW w:type="dxa" w:w="2835"/>
            <w:tcMar>
              <w:top w:w="65" w:type="dxa"/>
              <w:start w:w="70" w:type="dxa"/>
              <w:bottom w:w="65" w:type="dxa"/>
              <w:end w:w="70" w:type="dxa"/>
            </w:tcMar>
            <w:vAlign w:val="top"/>
          </w:tcPr>
          <w:p>
            <w:pPr>
              <w:spacing w:after="0"/>
            </w:pPr>
            <w:r>
              <w:rPr>
                <w:rFonts w:ascii="Arial" w:hAnsi="Arial"/>
                <w:sz w:val="17"/>
              </w:rPr>
              <w:t>Cómo afectan esos cambios la vida y la autonomía</w:t>
            </w:r>
          </w:p>
        </w:tc>
        <w:tc>
          <w:tcPr>
            <w:tcW w:type="dxa" w:w="5102"/>
            <w:tcMar>
              <w:top w:w="65" w:type="dxa"/>
              <w:start w:w="70" w:type="dxa"/>
              <w:bottom w:w="65" w:type="dxa"/>
              <w:end w:w="70" w:type="dxa"/>
            </w:tcMar>
            <w:vAlign w:val="top"/>
          </w:tcPr>
          <w:p>
            <w:pPr>
              <w:spacing w:after="0"/>
            </w:pPr>
            <w:r>
              <w:rPr>
                <w:rFonts w:ascii="Arial" w:hAnsi="Arial"/>
                <w:sz w:val="17"/>
              </w:rPr>
              <w:t>Mayor aislamiento, riesgo de violencia, pérdida de ingresos, institucionalización, sobrecarga de cuidado, exclusión de servicios y participación, deterioro de salud o protección.</w:t>
            </w:r>
          </w:p>
        </w:tc>
      </w:tr>
      <w:tr>
        <w:tc>
          <w:tcPr>
            <w:tcW w:type="dxa" w:w="1701"/>
            <w:tcMar>
              <w:top w:w="65" w:type="dxa"/>
              <w:start w:w="70" w:type="dxa"/>
              <w:bottom w:w="65" w:type="dxa"/>
              <w:end w:w="70" w:type="dxa"/>
            </w:tcMar>
            <w:vAlign w:val="top"/>
            <w:shd w:fill="FBFCFD"/>
          </w:tcPr>
          <w:p>
            <w:pPr>
              <w:spacing w:after="0"/>
            </w:pPr>
            <w:r>
              <w:rPr>
                <w:rFonts w:ascii="Arial" w:hAnsi="Arial"/>
                <w:sz w:val="17"/>
              </w:rPr>
              <w:t>Recuperación</w:t>
            </w:r>
          </w:p>
        </w:tc>
        <w:tc>
          <w:tcPr>
            <w:tcW w:type="dxa" w:w="2835"/>
            <w:tcMar>
              <w:top w:w="65" w:type="dxa"/>
              <w:start w:w="70" w:type="dxa"/>
              <w:bottom w:w="65" w:type="dxa"/>
              <w:end w:w="70" w:type="dxa"/>
            </w:tcMar>
            <w:vAlign w:val="top"/>
            <w:shd w:fill="FBFCFD"/>
          </w:tcPr>
          <w:p>
            <w:pPr>
              <w:spacing w:after="0"/>
            </w:pPr>
            <w:r>
              <w:rPr>
                <w:rFonts w:ascii="Arial" w:hAnsi="Arial"/>
                <w:sz w:val="17"/>
              </w:rPr>
              <w:t>Qué debe financiarse y hacerse para recuperar mejor</w:t>
            </w:r>
          </w:p>
        </w:tc>
        <w:tc>
          <w:tcPr>
            <w:tcW w:type="dxa" w:w="5102"/>
            <w:tcMar>
              <w:top w:w="65" w:type="dxa"/>
              <w:start w:w="70" w:type="dxa"/>
              <w:bottom w:w="65" w:type="dxa"/>
              <w:end w:w="70" w:type="dxa"/>
            </w:tcMar>
            <w:vAlign w:val="top"/>
            <w:shd w:fill="FBFCFD"/>
          </w:tcPr>
          <w:p>
            <w:pPr>
              <w:spacing w:after="0"/>
            </w:pPr>
            <w:r>
              <w:rPr>
                <w:rFonts w:ascii="Arial" w:hAnsi="Arial"/>
                <w:sz w:val="17"/>
              </w:rPr>
              <w:t>Reconstrucción accesible, reposición de apoyos, transporte accesible, ajustes razonables, comunicación accesible, protección social, apoyos a cuidadores, participación y seguimiento.</w:t>
            </w:r>
          </w:p>
        </w:tc>
      </w:tr>
    </w:tbl>
    <w:p>
      <w:pPr>
        <w:spacing w:after="40"/>
      </w:pPr>
    </w:p>
    <w:p>
      <w:pPr>
        <w:pStyle w:val="Heading1"/>
      </w:pPr>
      <w:r>
        <w:t>3. Cinco principios no negociables</w:t>
      </w:r>
    </w:p>
    <w:p>
      <w:pPr>
        <w:ind w:left="113"/>
      </w:pPr>
      <w:r>
        <w:rPr>
          <w:b/>
          <w:color w:val="009BDB"/>
        </w:rPr>
        <w:t xml:space="preserve">1. Participación real. </w:t>
      </w:r>
      <w:r>
        <w:t>Las personas con discapacidad y sus organizaciones deben participar en la definición de preguntas, levantamiento de información, priorización y validación de resultados. No son solo “beneficiarias” o fuentes de información.</w:t>
      </w:r>
    </w:p>
    <w:p>
      <w:pPr>
        <w:ind w:left="113"/>
      </w:pPr>
      <w:r>
        <w:rPr>
          <w:b/>
          <w:color w:val="009BDB"/>
        </w:rPr>
        <w:t xml:space="preserve">2. Accesibilidad. </w:t>
      </w:r>
      <w:r>
        <w:t>Los lugares, rutas, reuniones, formularios, mensajes y mecanismos de quejas deben poder ser utilizados por personas con distintas discapacidades. La accesibilidad se planifica y presupuesta.</w:t>
      </w:r>
    </w:p>
    <w:p>
      <w:pPr>
        <w:ind w:left="113"/>
      </w:pPr>
      <w:r>
        <w:rPr>
          <w:b/>
          <w:color w:val="009BDB"/>
        </w:rPr>
        <w:t xml:space="preserve">3. Autonomía y apoyos. </w:t>
      </w:r>
      <w:r>
        <w:t>La evaluación debe preguntar qué apoyos necesita la persona para decidir, comunicarse, movilizarse y participar. Un cuidador o familiar no debe sustituir automáticamente la voz de la persona.</w:t>
      </w:r>
    </w:p>
    <w:p>
      <w:pPr>
        <w:ind w:left="113"/>
      </w:pPr>
      <w:r>
        <w:rPr>
          <w:b/>
          <w:color w:val="009BDB"/>
        </w:rPr>
        <w:t xml:space="preserve">4. Datos que permitan ver exclusiones. </w:t>
      </w:r>
      <w:r>
        <w:t>La información debe poder desagregarse por discapacidad, sexo y edad, y cruzarse con territorio, pobreza, pertenencia étnica, desplazamiento u otros factores relevantes.</w:t>
      </w:r>
    </w:p>
    <w:p>
      <w:pPr>
        <w:ind w:left="113"/>
      </w:pPr>
      <w:r>
        <w:rPr>
          <w:b/>
          <w:color w:val="009BDB"/>
        </w:rPr>
        <w:t xml:space="preserve">5. Reconstruir mejor e inclusivamente. </w:t>
      </w:r>
      <w:r>
        <w:t>No basta con reponer lo que había. Si una infraestructura o servicio era inaccesible antes del desastre, reconstruirlo igual reproduce el riesgo y la exclusión.</w:t>
      </w:r>
    </w:p>
    <w:p>
      <w:pPr>
        <w:pStyle w:val="Heading1"/>
      </w:pPr>
      <w:r>
        <w:t>4. Ruta operativa: siete pasos para una evaluación inclusiva</w:t>
      </w:r>
    </w:p>
    <w:p>
      <w:pPr>
        <w:pStyle w:val="Heading2"/>
      </w:pPr>
      <w:r>
        <w:t>Paso 1. Aliste la inclusión antes de salir a terreno</w:t>
      </w:r>
    </w:p>
    <w:p>
      <w:pPr>
        <w:ind w:left="255" w:hanging="142"/>
      </w:pPr>
      <w:r>
        <w:rPr>
          <w:b/>
          <w:color w:val="009BDB"/>
        </w:rPr>
        <w:t xml:space="preserve">• </w:t>
      </w:r>
      <w:r>
        <w:t>Designe una persona responsable de inclusión dentro del equipo de coordinación y en cada equipo de campo.</w:t>
      </w:r>
    </w:p>
    <w:p>
      <w:pPr>
        <w:ind w:left="255" w:hanging="142"/>
      </w:pPr>
      <w:r>
        <w:rPr>
          <w:b/>
          <w:color w:val="009BDB"/>
        </w:rPr>
        <w:t xml:space="preserve">• </w:t>
      </w:r>
      <w:r>
        <w:t>Mapee organizaciones de personas con discapacidad, líderes comunitarios, redes de cuidadores, gestores de caso y servicios locales que puedan apoyar la identificación y validación.</w:t>
      </w:r>
    </w:p>
    <w:p>
      <w:pPr>
        <w:ind w:left="255" w:hanging="142"/>
      </w:pPr>
      <w:r>
        <w:rPr>
          <w:b/>
          <w:color w:val="009BDB"/>
        </w:rPr>
        <w:t xml:space="preserve">• </w:t>
      </w:r>
      <w:r>
        <w:t>Incluya personas con discapacidad y, cuando sea posible, integrantes de sus organizaciones en los equipos de evaluación, con condiciones de participación y remuneración equivalentes.</w:t>
      </w:r>
    </w:p>
    <w:p>
      <w:pPr>
        <w:ind w:left="255" w:hanging="142"/>
      </w:pPr>
      <w:r>
        <w:rPr>
          <w:b/>
          <w:color w:val="009BDB"/>
        </w:rPr>
        <w:t xml:space="preserve">• </w:t>
      </w:r>
      <w:r>
        <w:t>Presupueste interpretación en Lengua de Señas Colombiana, transporte accesible, apoyos de comunicación, impresión accesible, acompañamiento y otros ajustes razonables.</w:t>
      </w:r>
    </w:p>
    <w:p>
      <w:pPr>
        <w:ind w:left="255" w:hanging="142"/>
      </w:pPr>
      <w:r>
        <w:rPr>
          <w:b/>
          <w:color w:val="009BDB"/>
        </w:rPr>
        <w:t xml:space="preserve">• </w:t>
      </w:r>
      <w:r>
        <w:t>Revise la seguridad y accesibilidad de las rutas, puntos de encuentro y lugares de consulta. Si no son accesibles, cambie el lugar o lleve la evaluación hasta la persona.</w:t>
      </w:r>
    </w:p>
    <w:p>
      <w:pPr>
        <w:pStyle w:val="Heading2"/>
      </w:pPr>
      <w:r>
        <w:t>Paso 2. Construya una línea de base que permita comparar</w:t>
      </w:r>
    </w:p>
    <w:p>
      <w:r>
        <w:t>Antes de medir el efecto del desastre, identifique qué existía y cómo funcionaba. Use registros administrativos, información local y conocimiento comunitario, reconociendo que los registros de discapacidad pueden estar incompletos.</w:t>
      </w:r>
    </w:p>
    <w:tbl>
      <w:tblPr>
        <w:tblW w:type="auto" w:w="0"/>
        <w:jc w:val="center"/>
        <w:tblLayout w:type="fixed"/>
        <w:tblLook w:firstColumn="1" w:firstRow="1" w:lastColumn="0" w:lastRow="0" w:noHBand="0" w:noVBand="1" w:val="04A0"/>
        <w:tblBorders>
          <w:top w:val="single" w:sz="5" w:space="0" w:color="D9E2E7"/>
          <w:left w:val="single" w:sz="5" w:space="0" w:color="D9E2E7"/>
          <w:bottom w:val="single" w:sz="5" w:space="0" w:color="D9E2E7"/>
          <w:right w:val="single" w:sz="5" w:space="0" w:color="D9E2E7"/>
          <w:insideH w:val="single" w:sz="5" w:space="0" w:color="D9E2E7"/>
          <w:insideV w:val="single" w:sz="5" w:space="0" w:color="D9E2E7"/>
        </w:tblBorders>
      </w:tblPr>
      <w:tblGrid>
        <w:gridCol w:w="5156"/>
        <w:gridCol w:w="5156"/>
      </w:tblGrid>
      <w:tr>
        <w:trPr>
          <w:tblHeader w:val="true"/>
        </w:trPr>
        <w:tc>
          <w:tcPr>
            <w:tcW w:type="dxa" w:w="2268"/>
            <w:shd w:fill="D9F1FA"/>
            <w:tcMar>
              <w:top w:w="70" w:type="dxa"/>
              <w:start w:w="70" w:type="dxa"/>
              <w:bottom w:w="70" w:type="dxa"/>
              <w:end w:w="70" w:type="dxa"/>
            </w:tcMar>
            <w:vAlign w:val="center"/>
          </w:tcPr>
          <w:p>
            <w:pPr>
              <w:spacing w:after="0"/>
              <w:jc w:val="left"/>
            </w:pPr>
            <w:r>
              <w:rPr>
                <w:rFonts w:ascii="Arial" w:hAnsi="Arial"/>
                <w:b/>
                <w:color w:val="232D37"/>
                <w:sz w:val="18"/>
              </w:rPr>
              <w:t>Dimensión de línea de base</w:t>
            </w:r>
          </w:p>
        </w:tc>
        <w:tc>
          <w:tcPr>
            <w:tcW w:type="dxa" w:w="7370"/>
            <w:shd w:fill="D9F1FA"/>
            <w:tcMar>
              <w:top w:w="70" w:type="dxa"/>
              <w:start w:w="70" w:type="dxa"/>
              <w:bottom w:w="70" w:type="dxa"/>
              <w:end w:w="70" w:type="dxa"/>
            </w:tcMar>
            <w:vAlign w:val="center"/>
          </w:tcPr>
          <w:p>
            <w:pPr>
              <w:spacing w:after="0"/>
              <w:jc w:val="left"/>
            </w:pPr>
            <w:r>
              <w:rPr>
                <w:rFonts w:ascii="Arial" w:hAnsi="Arial"/>
                <w:b/>
                <w:color w:val="232D37"/>
                <w:sz w:val="18"/>
              </w:rPr>
              <w:t>Información mínima</w:t>
            </w:r>
          </w:p>
        </w:tc>
      </w:tr>
      <w:tr>
        <w:tc>
          <w:tcPr>
            <w:tcW w:type="dxa" w:w="2268"/>
            <w:tcMar>
              <w:top w:w="65" w:type="dxa"/>
              <w:start w:w="70" w:type="dxa"/>
              <w:bottom w:w="65" w:type="dxa"/>
              <w:end w:w="70" w:type="dxa"/>
            </w:tcMar>
            <w:vAlign w:val="top"/>
          </w:tcPr>
          <w:p>
            <w:pPr>
              <w:spacing w:after="0"/>
            </w:pPr>
            <w:r>
              <w:rPr>
                <w:rFonts w:ascii="Arial" w:hAnsi="Arial"/>
                <w:sz w:val="18"/>
              </w:rPr>
              <w:t>Población</w:t>
            </w:r>
          </w:p>
        </w:tc>
        <w:tc>
          <w:tcPr>
            <w:tcW w:type="dxa" w:w="7370"/>
            <w:tcMar>
              <w:top w:w="65" w:type="dxa"/>
              <w:start w:w="70" w:type="dxa"/>
              <w:bottom w:w="65" w:type="dxa"/>
              <w:end w:w="70" w:type="dxa"/>
            </w:tcMar>
            <w:vAlign w:val="top"/>
          </w:tcPr>
          <w:p>
            <w:pPr>
              <w:spacing w:after="0"/>
            </w:pPr>
            <w:r>
              <w:rPr>
                <w:rFonts w:ascii="Arial" w:hAnsi="Arial"/>
                <w:sz w:val="18"/>
              </w:rPr>
              <w:t>Personas con discapacidad por edad, sexo, zona urbana/rural y localización; hogares con personas que requieren apoyos; niñez con dificultades funcionales.</w:t>
            </w:r>
          </w:p>
        </w:tc>
      </w:tr>
      <w:tr>
        <w:tc>
          <w:tcPr>
            <w:tcW w:type="dxa" w:w="2268"/>
            <w:tcMar>
              <w:top w:w="65" w:type="dxa"/>
              <w:start w:w="70" w:type="dxa"/>
              <w:bottom w:w="65" w:type="dxa"/>
              <w:end w:w="70" w:type="dxa"/>
            </w:tcMar>
            <w:vAlign w:val="top"/>
            <w:shd w:fill="FBFCFD"/>
          </w:tcPr>
          <w:p>
            <w:pPr>
              <w:spacing w:after="0"/>
            </w:pPr>
            <w:r>
              <w:rPr>
                <w:rFonts w:ascii="Arial" w:hAnsi="Arial"/>
                <w:sz w:val="18"/>
              </w:rPr>
              <w:t>Apoyos</w:t>
            </w:r>
          </w:p>
        </w:tc>
        <w:tc>
          <w:tcPr>
            <w:tcW w:type="dxa" w:w="7370"/>
            <w:tcMar>
              <w:top w:w="65" w:type="dxa"/>
              <w:start w:w="70" w:type="dxa"/>
              <w:bottom w:w="65" w:type="dxa"/>
              <w:end w:w="70" w:type="dxa"/>
            </w:tcMar>
            <w:vAlign w:val="top"/>
            <w:shd w:fill="FBFCFD"/>
          </w:tcPr>
          <w:p>
            <w:pPr>
              <w:spacing w:after="0"/>
            </w:pPr>
            <w:r>
              <w:rPr>
                <w:rFonts w:ascii="Arial" w:hAnsi="Arial"/>
                <w:sz w:val="18"/>
              </w:rPr>
              <w:t>Ayudas técnicas y tecnologías de asistencia; asistencia personal; apoyos para comunicación y toma de decisiones; medicamentos; rehabilitación; servicios de relevo o respiro.</w:t>
            </w:r>
          </w:p>
        </w:tc>
      </w:tr>
      <w:tr>
        <w:tc>
          <w:tcPr>
            <w:tcW w:type="dxa" w:w="2268"/>
            <w:tcMar>
              <w:top w:w="65" w:type="dxa"/>
              <w:start w:w="70" w:type="dxa"/>
              <w:bottom w:w="65" w:type="dxa"/>
              <w:end w:w="70" w:type="dxa"/>
            </w:tcMar>
            <w:vAlign w:val="top"/>
          </w:tcPr>
          <w:p>
            <w:pPr>
              <w:spacing w:after="0"/>
            </w:pPr>
            <w:r>
              <w:rPr>
                <w:rFonts w:ascii="Arial" w:hAnsi="Arial"/>
                <w:sz w:val="18"/>
              </w:rPr>
              <w:t>Servicios</w:t>
            </w:r>
          </w:p>
        </w:tc>
        <w:tc>
          <w:tcPr>
            <w:tcW w:type="dxa" w:w="7370"/>
            <w:tcMar>
              <w:top w:w="65" w:type="dxa"/>
              <w:start w:w="70" w:type="dxa"/>
              <w:bottom w:w="65" w:type="dxa"/>
              <w:end w:w="70" w:type="dxa"/>
            </w:tcMar>
            <w:vAlign w:val="top"/>
          </w:tcPr>
          <w:p>
            <w:pPr>
              <w:spacing w:after="0"/>
            </w:pPr>
            <w:r>
              <w:rPr>
                <w:rFonts w:ascii="Arial" w:hAnsi="Arial"/>
                <w:sz w:val="18"/>
              </w:rPr>
              <w:t>Salud, educación, protección, agua y saneamiento, transferencias monetarias, transporte, cuidado, recreación y redes comunitarias.</w:t>
            </w:r>
          </w:p>
        </w:tc>
      </w:tr>
      <w:tr>
        <w:tc>
          <w:tcPr>
            <w:tcW w:type="dxa" w:w="2268"/>
            <w:tcMar>
              <w:top w:w="65" w:type="dxa"/>
              <w:start w:w="70" w:type="dxa"/>
              <w:bottom w:w="65" w:type="dxa"/>
              <w:end w:w="70" w:type="dxa"/>
            </w:tcMar>
            <w:vAlign w:val="top"/>
            <w:shd w:fill="FBFCFD"/>
          </w:tcPr>
          <w:p>
            <w:pPr>
              <w:spacing w:after="0"/>
            </w:pPr>
            <w:r>
              <w:rPr>
                <w:rFonts w:ascii="Arial" w:hAnsi="Arial"/>
                <w:sz w:val="18"/>
              </w:rPr>
              <w:t>Accesibilidad</w:t>
            </w:r>
          </w:p>
        </w:tc>
        <w:tc>
          <w:tcPr>
            <w:tcW w:type="dxa" w:w="7370"/>
            <w:tcMar>
              <w:top w:w="65" w:type="dxa"/>
              <w:start w:w="70" w:type="dxa"/>
              <w:bottom w:w="65" w:type="dxa"/>
              <w:end w:w="70" w:type="dxa"/>
            </w:tcMar>
            <w:vAlign w:val="top"/>
            <w:shd w:fill="FBFCFD"/>
          </w:tcPr>
          <w:p>
            <w:pPr>
              <w:spacing w:after="0"/>
            </w:pPr>
            <w:r>
              <w:rPr>
                <w:rFonts w:ascii="Arial" w:hAnsi="Arial"/>
                <w:sz w:val="18"/>
              </w:rPr>
              <w:t>Rutas, transporte, puntos de atención, infraestructura, señalización, comunicaciones y canales digitales.</w:t>
            </w:r>
          </w:p>
        </w:tc>
      </w:tr>
      <w:tr>
        <w:tc>
          <w:tcPr>
            <w:tcW w:type="dxa" w:w="2268"/>
            <w:tcMar>
              <w:top w:w="65" w:type="dxa"/>
              <w:start w:w="70" w:type="dxa"/>
              <w:bottom w:w="65" w:type="dxa"/>
              <w:end w:w="70" w:type="dxa"/>
            </w:tcMar>
            <w:vAlign w:val="top"/>
          </w:tcPr>
          <w:p>
            <w:pPr>
              <w:spacing w:after="0"/>
            </w:pPr>
            <w:r>
              <w:rPr>
                <w:rFonts w:ascii="Arial" w:hAnsi="Arial"/>
                <w:sz w:val="18"/>
              </w:rPr>
              <w:t>Redes y cuidado</w:t>
            </w:r>
          </w:p>
        </w:tc>
        <w:tc>
          <w:tcPr>
            <w:tcW w:type="dxa" w:w="7370"/>
            <w:tcMar>
              <w:top w:w="65" w:type="dxa"/>
              <w:start w:w="70" w:type="dxa"/>
              <w:bottom w:w="65" w:type="dxa"/>
              <w:end w:w="70" w:type="dxa"/>
            </w:tcMar>
            <w:vAlign w:val="top"/>
          </w:tcPr>
          <w:p>
            <w:pPr>
              <w:spacing w:after="0"/>
            </w:pPr>
            <w:r>
              <w:rPr>
                <w:rFonts w:ascii="Arial" w:hAnsi="Arial"/>
                <w:sz w:val="18"/>
              </w:rPr>
              <w:t>Quién presta apoyo y cuidado; disponibilidad de cuidadores; cargas de cuidado; redes familiares y comunitarias; riesgos de separación.</w:t>
            </w:r>
          </w:p>
        </w:tc>
      </w:tr>
    </w:tbl>
    <w:p>
      <w:pPr>
        <w:spacing w:after="40"/>
      </w:pPr>
    </w:p>
    <w:p>
      <w:pPr>
        <w:pStyle w:val="Heading2"/>
      </w:pPr>
      <w:r>
        <w:t>Paso 3. Identifique discapacidad de forma adecuada</w:t>
      </w:r>
    </w:p>
    <w:p>
      <w:r>
        <w:t>Evite preguntas generales como “¿es usted discapacitado?” o la exigencia de certificados médicos para ser contado. Para población adulta, el Conjunto Breve de Preguntas sobre Funcionamiento del Grupo de Washington permite identificar dificultades funcionales en dominios básicos y desagregar otros resultados por discapacidad. Para niñas, niños y adolescentes entre 2 y 17 años, use el Módulo de Funcionamiento Infantil de UNICEF/Grupo de Washington; en contextos humanitarios existe una versión específica, más breve, diseñada para las restricciones de tiempo y operación de una emergencia.</w:t>
      </w:r>
    </w:p>
    <w:tbl>
      <w:tblPr>
        <w:tblW w:type="auto" w:w="0"/>
        <w:jc w:val="center"/>
        <w:tblLayout w:type="fixed"/>
        <w:tblLook w:firstColumn="1" w:firstRow="1" w:lastColumn="0" w:lastRow="0" w:noHBand="0" w:noVBand="1" w:val="04A0"/>
        <w:tblBorders>
          <w:top w:val="single" w:sz="1" w:space="0" w:color="F5F8FA"/>
          <w:left w:val="single" w:sz="1" w:space="0" w:color="F5F8FA"/>
          <w:bottom w:val="single" w:sz="1" w:space="0" w:color="F5F8FA"/>
          <w:right w:val="single" w:sz="1" w:space="0" w:color="F5F8FA"/>
          <w:insideH w:val="single" w:sz="1" w:space="0" w:color="F5F8FA"/>
          <w:insideV w:val="single" w:sz="1" w:space="0" w:color="F5F8FA"/>
        </w:tblBorders>
      </w:tblPr>
      <w:tblGrid>
        <w:gridCol w:w="9921"/>
      </w:tblGrid>
      <w:tr>
        <w:trPr>
          <w:tblHeader w:val="true"/>
        </w:trPr>
        <w:tc>
          <w:tcPr>
            <w:tcW w:type="dxa" w:w="10312"/>
            <w:shd w:fill="F5F8FA"/>
            <w:tcMar>
              <w:top w:w="120" w:type="dxa"/>
              <w:start w:w="160" w:type="dxa"/>
              <w:bottom w:w="120" w:type="dxa"/>
              <w:end w:w="160" w:type="dxa"/>
            </w:tcMar>
          </w:tcPr>
          <w:p>
            <w:pPr>
              <w:spacing w:after="60"/>
            </w:pPr>
            <w:r>
              <w:rPr>
                <w:b/>
                <w:color w:val="009BDB"/>
                <w:sz w:val="21"/>
              </w:rPr>
              <w:t>Importante sobre los datos</w:t>
            </w:r>
          </w:p>
          <w:p>
            <w:pPr>
              <w:spacing w:after="0" w:line="252" w:lineRule="auto"/>
            </w:pPr>
            <w:r>
              <w:t>Estas herramientas sirven para desagregar información y detectar riesgo de exclusión. No son instrumentos de diagnóstico médico ni deben utilizarse, por sí solas, para negar o restringir asistencia. En la niñez, el módulo debe aplicarse a la madre o cuidador principal según la metodología oficial.</w:t>
            </w:r>
          </w:p>
        </w:tc>
      </w:tr>
    </w:tbl>
    <w:p>
      <w:pPr>
        <w:spacing w:after="20"/>
      </w:pPr>
    </w:p>
    <w:p>
      <w:pPr>
        <w:pStyle w:val="Heading2"/>
      </w:pPr>
      <w:r>
        <w:t>Paso 4. Evalúe cuatro tipos de efectos, no solo daños físicos</w:t>
      </w:r>
    </w:p>
    <w:tbl>
      <w:tblPr>
        <w:tblW w:type="auto" w:w="0"/>
        <w:jc w:val="center"/>
        <w:tblLayout w:type="fixed"/>
        <w:tblLook w:firstColumn="1" w:firstRow="1" w:lastColumn="0" w:lastRow="0" w:noHBand="0" w:noVBand="1" w:val="04A0"/>
        <w:tblBorders>
          <w:top w:val="single" w:sz="5" w:space="0" w:color="D9E2E7"/>
          <w:left w:val="single" w:sz="5" w:space="0" w:color="D9E2E7"/>
          <w:bottom w:val="single" w:sz="5" w:space="0" w:color="D9E2E7"/>
          <w:right w:val="single" w:sz="5" w:space="0" w:color="D9E2E7"/>
          <w:insideH w:val="single" w:sz="5" w:space="0" w:color="D9E2E7"/>
          <w:insideV w:val="single" w:sz="5" w:space="0" w:color="D9E2E7"/>
        </w:tblBorders>
      </w:tblPr>
      <w:tblGrid>
        <w:gridCol w:w="5156"/>
        <w:gridCol w:w="5156"/>
      </w:tblGrid>
      <w:tr>
        <w:trPr>
          <w:tblHeader w:val="true"/>
        </w:trPr>
        <w:tc>
          <w:tcPr>
            <w:tcW w:type="dxa" w:w="2268"/>
            <w:shd w:fill="D9F1FA"/>
            <w:tcMar>
              <w:top w:w="70" w:type="dxa"/>
              <w:start w:w="70" w:type="dxa"/>
              <w:bottom w:w="70" w:type="dxa"/>
              <w:end w:w="70" w:type="dxa"/>
            </w:tcMar>
            <w:vAlign w:val="center"/>
          </w:tcPr>
          <w:p>
            <w:pPr>
              <w:spacing w:after="0"/>
              <w:jc w:val="left"/>
            </w:pPr>
            <w:r>
              <w:rPr>
                <w:rFonts w:ascii="Arial" w:hAnsi="Arial"/>
                <w:b/>
                <w:color w:val="232D37"/>
                <w:sz w:val="17"/>
              </w:rPr>
              <w:t>Dimensión</w:t>
            </w:r>
          </w:p>
        </w:tc>
        <w:tc>
          <w:tcPr>
            <w:tcW w:type="dxa" w:w="7370"/>
            <w:shd w:fill="D9F1FA"/>
            <w:tcMar>
              <w:top w:w="70" w:type="dxa"/>
              <w:start w:w="70" w:type="dxa"/>
              <w:bottom w:w="70" w:type="dxa"/>
              <w:end w:w="70" w:type="dxa"/>
            </w:tcMar>
            <w:vAlign w:val="center"/>
          </w:tcPr>
          <w:p>
            <w:pPr>
              <w:spacing w:after="0"/>
              <w:jc w:val="left"/>
            </w:pPr>
            <w:r>
              <w:rPr>
                <w:rFonts w:ascii="Arial" w:hAnsi="Arial"/>
                <w:b/>
                <w:color w:val="232D37"/>
                <w:sz w:val="17"/>
              </w:rPr>
              <w:t>Preguntas de verificación</w:t>
            </w:r>
          </w:p>
        </w:tc>
      </w:tr>
      <w:tr>
        <w:tc>
          <w:tcPr>
            <w:tcW w:type="dxa" w:w="2268"/>
            <w:tcMar>
              <w:top w:w="65" w:type="dxa"/>
              <w:start w:w="70" w:type="dxa"/>
              <w:bottom w:w="65" w:type="dxa"/>
              <w:end w:w="70" w:type="dxa"/>
            </w:tcMar>
            <w:vAlign w:val="top"/>
          </w:tcPr>
          <w:p>
            <w:pPr>
              <w:spacing w:after="0"/>
            </w:pPr>
            <w:r>
              <w:rPr>
                <w:rFonts w:ascii="Arial" w:hAnsi="Arial"/>
                <w:sz w:val="17"/>
              </w:rPr>
              <w:t>1. Infraestructura y activos</w:t>
            </w:r>
          </w:p>
        </w:tc>
        <w:tc>
          <w:tcPr>
            <w:tcW w:type="dxa" w:w="7370"/>
            <w:tcMar>
              <w:top w:w="65" w:type="dxa"/>
              <w:start w:w="70" w:type="dxa"/>
              <w:bottom w:w="65" w:type="dxa"/>
              <w:end w:w="70" w:type="dxa"/>
            </w:tcMar>
            <w:vAlign w:val="top"/>
          </w:tcPr>
          <w:p>
            <w:pPr>
              <w:spacing w:after="20"/>
            </w:pPr>
            <w:r>
              <w:rPr>
                <w:rFonts w:ascii="Arial" w:hAnsi="Arial"/>
                <w:sz w:val="17"/>
              </w:rPr>
              <w:t>• ¿Se dañaron rampas, pasamanos, ascensores, señalización o baños accesibles?</w:t>
            </w:r>
          </w:p>
          <w:p>
            <w:pPr>
              <w:spacing w:after="20"/>
            </w:pPr>
            <w:r>
              <w:rPr>
                <w:rFonts w:ascii="Arial" w:hAnsi="Arial"/>
                <w:sz w:val="17"/>
              </w:rPr>
              <w:t>• ¿La persona perdió silla de ruedas, bastón, audífono, prótesis, dispositivo de comunicación u otra tecnología de asistencia?</w:t>
            </w:r>
          </w:p>
          <w:p>
            <w:pPr>
              <w:spacing w:after="20"/>
            </w:pPr>
            <w:r>
              <w:rPr>
                <w:rFonts w:ascii="Arial" w:hAnsi="Arial"/>
                <w:sz w:val="17"/>
              </w:rPr>
              <w:t>• ¿La vivienda o alojamiento sigue siendo utilizable de forma segura y autónoma?</w:t>
            </w:r>
          </w:p>
        </w:tc>
      </w:tr>
      <w:tr>
        <w:tc>
          <w:tcPr>
            <w:tcW w:type="dxa" w:w="2268"/>
            <w:tcMar>
              <w:top w:w="65" w:type="dxa"/>
              <w:start w:w="70" w:type="dxa"/>
              <w:bottom w:w="65" w:type="dxa"/>
              <w:end w:w="70" w:type="dxa"/>
            </w:tcMar>
            <w:vAlign w:val="top"/>
            <w:shd w:fill="FBFCFD"/>
          </w:tcPr>
          <w:p>
            <w:pPr>
              <w:spacing w:after="0"/>
            </w:pPr>
            <w:r>
              <w:rPr>
                <w:rFonts w:ascii="Arial" w:hAnsi="Arial"/>
                <w:sz w:val="17"/>
              </w:rPr>
              <w:t>2. Acceso a bienes y servicios</w:t>
            </w:r>
          </w:p>
        </w:tc>
        <w:tc>
          <w:tcPr>
            <w:tcW w:type="dxa" w:w="7370"/>
            <w:tcMar>
              <w:top w:w="65" w:type="dxa"/>
              <w:start w:w="70" w:type="dxa"/>
              <w:bottom w:w="65" w:type="dxa"/>
              <w:end w:w="70" w:type="dxa"/>
            </w:tcMar>
            <w:vAlign w:val="top"/>
            <w:shd w:fill="FBFCFD"/>
          </w:tcPr>
          <w:p>
            <w:pPr>
              <w:spacing w:after="20"/>
            </w:pPr>
            <w:r>
              <w:rPr>
                <w:rFonts w:ascii="Arial" w:hAnsi="Arial"/>
                <w:sz w:val="17"/>
              </w:rPr>
              <w:t>• ¿Puede llegar, entrar, comprender y utilizar salud, agua, saneamiento, alimentación, educación, protección, ayudas económicas y transporte?</w:t>
            </w:r>
          </w:p>
          <w:p>
            <w:pPr>
              <w:spacing w:after="20"/>
            </w:pPr>
            <w:r>
              <w:rPr>
                <w:rFonts w:ascii="Arial" w:hAnsi="Arial"/>
                <w:sz w:val="17"/>
              </w:rPr>
              <w:t>• ¿Se interrumpieron medicamentos, rehabilitación, asistencia personal o cuidado?</w:t>
            </w:r>
          </w:p>
          <w:p>
            <w:pPr>
              <w:spacing w:after="20"/>
            </w:pPr>
            <w:r>
              <w:rPr>
                <w:rFonts w:ascii="Arial" w:hAnsi="Arial"/>
                <w:sz w:val="17"/>
              </w:rPr>
              <w:t>• ¿Los requisitos, filas, horarios, costos o canales digitales crean nuevas barreras?</w:t>
            </w:r>
          </w:p>
        </w:tc>
      </w:tr>
      <w:tr>
        <w:tc>
          <w:tcPr>
            <w:tcW w:type="dxa" w:w="2268"/>
            <w:tcMar>
              <w:top w:w="65" w:type="dxa"/>
              <w:start w:w="70" w:type="dxa"/>
              <w:bottom w:w="65" w:type="dxa"/>
              <w:end w:w="70" w:type="dxa"/>
            </w:tcMar>
            <w:vAlign w:val="top"/>
          </w:tcPr>
          <w:p>
            <w:pPr>
              <w:spacing w:after="0"/>
            </w:pPr>
            <w:r>
              <w:rPr>
                <w:rFonts w:ascii="Arial" w:hAnsi="Arial"/>
                <w:sz w:val="17"/>
              </w:rPr>
              <w:t>3. Gobernanza y participación</w:t>
            </w:r>
          </w:p>
        </w:tc>
        <w:tc>
          <w:tcPr>
            <w:tcW w:type="dxa" w:w="7370"/>
            <w:tcMar>
              <w:top w:w="65" w:type="dxa"/>
              <w:start w:w="70" w:type="dxa"/>
              <w:bottom w:w="65" w:type="dxa"/>
              <w:end w:w="70" w:type="dxa"/>
            </w:tcMar>
            <w:vAlign w:val="top"/>
          </w:tcPr>
          <w:p>
            <w:pPr>
              <w:spacing w:after="20"/>
            </w:pPr>
            <w:r>
              <w:rPr>
                <w:rFonts w:ascii="Arial" w:hAnsi="Arial"/>
                <w:sz w:val="17"/>
              </w:rPr>
              <w:t>• ¿Las personas con discapacidad participan en comités, reuniones y decisiones?</w:t>
            </w:r>
          </w:p>
          <w:p>
            <w:pPr>
              <w:spacing w:after="20"/>
            </w:pPr>
            <w:r>
              <w:rPr>
                <w:rFonts w:ascii="Arial" w:hAnsi="Arial"/>
                <w:sz w:val="17"/>
              </w:rPr>
              <w:t>• ¿La información sobre riesgos, ayudas y recuperación es accesible?</w:t>
            </w:r>
          </w:p>
          <w:p>
            <w:pPr>
              <w:spacing w:after="20"/>
            </w:pPr>
            <w:r>
              <w:rPr>
                <w:rFonts w:ascii="Arial" w:hAnsi="Arial"/>
                <w:sz w:val="17"/>
              </w:rPr>
              <w:t>• ¿Los mecanismos de quejas y retroalimentación pueden usarse sin depender de terceros?</w:t>
            </w:r>
          </w:p>
        </w:tc>
      </w:tr>
      <w:tr>
        <w:tc>
          <w:tcPr>
            <w:tcW w:type="dxa" w:w="2268"/>
            <w:tcMar>
              <w:top w:w="65" w:type="dxa"/>
              <w:start w:w="70" w:type="dxa"/>
              <w:bottom w:w="65" w:type="dxa"/>
              <w:end w:w="70" w:type="dxa"/>
            </w:tcMar>
            <w:vAlign w:val="top"/>
            <w:shd w:fill="FBFCFD"/>
          </w:tcPr>
          <w:p>
            <w:pPr>
              <w:spacing w:after="0"/>
            </w:pPr>
            <w:r>
              <w:rPr>
                <w:rFonts w:ascii="Arial" w:hAnsi="Arial"/>
                <w:sz w:val="17"/>
              </w:rPr>
              <w:t>4. Riesgos y vulnerabilidades</w:t>
            </w:r>
          </w:p>
        </w:tc>
        <w:tc>
          <w:tcPr>
            <w:tcW w:type="dxa" w:w="7370"/>
            <w:tcMar>
              <w:top w:w="65" w:type="dxa"/>
              <w:start w:w="70" w:type="dxa"/>
              <w:bottom w:w="65" w:type="dxa"/>
              <w:end w:w="70" w:type="dxa"/>
            </w:tcMar>
            <w:vAlign w:val="top"/>
            <w:shd w:fill="FBFCFD"/>
          </w:tcPr>
          <w:p>
            <w:pPr>
              <w:spacing w:after="20"/>
            </w:pPr>
            <w:r>
              <w:rPr>
                <w:rFonts w:ascii="Arial" w:hAnsi="Arial"/>
                <w:sz w:val="17"/>
              </w:rPr>
              <w:t>• ¿Aumentó el riesgo de aislamiento, violencia, abuso, explotación, separación familiar o institucionalización?</w:t>
            </w:r>
          </w:p>
          <w:p>
            <w:pPr>
              <w:spacing w:after="20"/>
            </w:pPr>
            <w:r>
              <w:rPr>
                <w:rFonts w:ascii="Arial" w:hAnsi="Arial"/>
                <w:sz w:val="17"/>
              </w:rPr>
              <w:t>• ¿Hay personas que no pueden evacuar o desplazarse de forma segura?</w:t>
            </w:r>
          </w:p>
          <w:p>
            <w:pPr>
              <w:spacing w:after="20"/>
            </w:pPr>
            <w:r>
              <w:rPr>
                <w:rFonts w:ascii="Arial" w:hAnsi="Arial"/>
                <w:sz w:val="17"/>
              </w:rPr>
              <w:t>• ¿Aumentó la carga de cuidado o se perdió la red de apoyo?</w:t>
            </w:r>
          </w:p>
        </w:tc>
      </w:tr>
    </w:tbl>
    <w:p>
      <w:pPr>
        <w:spacing w:after="40"/>
      </w:pPr>
    </w:p>
    <w:p>
      <w:pPr>
        <w:pStyle w:val="Heading2"/>
      </w:pPr>
      <w:r>
        <w:t>Paso 5. Pregunte por barreras y apoyos, no solo por la condición</w:t>
      </w:r>
    </w:p>
    <w:p>
      <w:r>
        <w:t>Una buena entrevista debe permitir entender la interacción entre la persona, el entorno y los apoyos disponibles.</w:t>
      </w:r>
    </w:p>
    <w:tbl>
      <w:tblPr>
        <w:tblW w:type="auto" w:w="0"/>
        <w:jc w:val="center"/>
        <w:tblLayout w:type="fixed"/>
        <w:tblLook w:firstColumn="1" w:firstRow="1" w:lastColumn="0" w:lastRow="0" w:noHBand="0" w:noVBand="1" w:val="04A0"/>
        <w:tblBorders>
          <w:top w:val="single" w:sz="5" w:space="0" w:color="D9E2E7"/>
          <w:left w:val="single" w:sz="5" w:space="0" w:color="D9E2E7"/>
          <w:bottom w:val="single" w:sz="5" w:space="0" w:color="D9E2E7"/>
          <w:right w:val="single" w:sz="5" w:space="0" w:color="D9E2E7"/>
          <w:insideH w:val="single" w:sz="5" w:space="0" w:color="D9E2E7"/>
          <w:insideV w:val="single" w:sz="5" w:space="0" w:color="D9E2E7"/>
        </w:tblBorders>
      </w:tblPr>
      <w:tblGrid>
        <w:gridCol w:w="5156"/>
        <w:gridCol w:w="5156"/>
      </w:tblGrid>
      <w:tr>
        <w:trPr>
          <w:tblHeader w:val="true"/>
        </w:trPr>
        <w:tc>
          <w:tcPr>
            <w:tcW w:type="dxa" w:w="2381"/>
            <w:shd w:fill="D9F1FA"/>
            <w:tcMar>
              <w:top w:w="70" w:type="dxa"/>
              <w:start w:w="70" w:type="dxa"/>
              <w:bottom w:w="70" w:type="dxa"/>
              <w:end w:w="70" w:type="dxa"/>
            </w:tcMar>
            <w:vAlign w:val="center"/>
          </w:tcPr>
          <w:p>
            <w:pPr>
              <w:spacing w:after="0"/>
              <w:jc w:val="left"/>
            </w:pPr>
            <w:r>
              <w:rPr>
                <w:rFonts w:ascii="Arial" w:hAnsi="Arial"/>
                <w:b/>
                <w:color w:val="232D37"/>
                <w:sz w:val="17"/>
              </w:rPr>
              <w:t>Tema</w:t>
            </w:r>
          </w:p>
        </w:tc>
        <w:tc>
          <w:tcPr>
            <w:tcW w:type="dxa" w:w="7257"/>
            <w:shd w:fill="D9F1FA"/>
            <w:tcMar>
              <w:top w:w="70" w:type="dxa"/>
              <w:start w:w="70" w:type="dxa"/>
              <w:bottom w:w="70" w:type="dxa"/>
              <w:end w:w="70" w:type="dxa"/>
            </w:tcMar>
            <w:vAlign w:val="center"/>
          </w:tcPr>
          <w:p>
            <w:pPr>
              <w:spacing w:after="0"/>
              <w:jc w:val="left"/>
            </w:pPr>
            <w:r>
              <w:rPr>
                <w:rFonts w:ascii="Arial" w:hAnsi="Arial"/>
                <w:b/>
                <w:color w:val="232D37"/>
                <w:sz w:val="17"/>
              </w:rPr>
              <w:t>Pregunta orientadora</w:t>
            </w:r>
          </w:p>
        </w:tc>
      </w:tr>
      <w:tr>
        <w:tc>
          <w:tcPr>
            <w:tcW w:type="dxa" w:w="2381"/>
            <w:tcMar>
              <w:top w:w="65" w:type="dxa"/>
              <w:start w:w="70" w:type="dxa"/>
              <w:bottom w:w="65" w:type="dxa"/>
              <w:end w:w="70" w:type="dxa"/>
            </w:tcMar>
            <w:vAlign w:val="top"/>
          </w:tcPr>
          <w:p>
            <w:pPr>
              <w:spacing w:after="0"/>
            </w:pPr>
            <w:r>
              <w:rPr>
                <w:rFonts w:ascii="Arial" w:hAnsi="Arial"/>
                <w:sz w:val="17"/>
              </w:rPr>
              <w:t>Comunicación</w:t>
            </w:r>
          </w:p>
        </w:tc>
        <w:tc>
          <w:tcPr>
            <w:tcW w:type="dxa" w:w="7257"/>
            <w:tcMar>
              <w:top w:w="65" w:type="dxa"/>
              <w:start w:w="70" w:type="dxa"/>
              <w:bottom w:w="65" w:type="dxa"/>
              <w:end w:w="70" w:type="dxa"/>
            </w:tcMar>
            <w:vAlign w:val="top"/>
          </w:tcPr>
          <w:p>
            <w:pPr>
              <w:spacing w:after="0"/>
            </w:pPr>
            <w:r>
              <w:rPr>
                <w:rFonts w:ascii="Arial" w:hAnsi="Arial"/>
                <w:sz w:val="17"/>
              </w:rPr>
              <w:t>¿Cuál es la forma de comunicación que prefiere? ¿Necesita intérprete, lectura fácil, pictogramas, texto, audio, letra grande u otro apoyo?</w:t>
            </w:r>
          </w:p>
        </w:tc>
      </w:tr>
      <w:tr>
        <w:tc>
          <w:tcPr>
            <w:tcW w:type="dxa" w:w="2381"/>
            <w:tcMar>
              <w:top w:w="65" w:type="dxa"/>
              <w:start w:w="70" w:type="dxa"/>
              <w:bottom w:w="65" w:type="dxa"/>
              <w:end w:w="70" w:type="dxa"/>
            </w:tcMar>
            <w:vAlign w:val="top"/>
            <w:shd w:fill="FBFCFD"/>
          </w:tcPr>
          <w:p>
            <w:pPr>
              <w:spacing w:after="0"/>
            </w:pPr>
            <w:r>
              <w:rPr>
                <w:rFonts w:ascii="Arial" w:hAnsi="Arial"/>
                <w:sz w:val="17"/>
              </w:rPr>
              <w:t>Movilidad y acceso</w:t>
            </w:r>
          </w:p>
        </w:tc>
        <w:tc>
          <w:tcPr>
            <w:tcW w:type="dxa" w:w="7257"/>
            <w:tcMar>
              <w:top w:w="65" w:type="dxa"/>
              <w:start w:w="70" w:type="dxa"/>
              <w:bottom w:w="65" w:type="dxa"/>
              <w:end w:w="70" w:type="dxa"/>
            </w:tcMar>
            <w:vAlign w:val="top"/>
            <w:shd w:fill="FBFCFD"/>
          </w:tcPr>
          <w:p>
            <w:pPr>
              <w:spacing w:after="0"/>
            </w:pPr>
            <w:r>
              <w:rPr>
                <w:rFonts w:ascii="Arial" w:hAnsi="Arial"/>
                <w:sz w:val="17"/>
              </w:rPr>
              <w:t>¿Qué lugares o servicios no puede usar ahora? ¿Qué barrera se lo impide? ¿Qué ajuste permitiría el acceso?</w:t>
            </w:r>
          </w:p>
        </w:tc>
      </w:tr>
      <w:tr>
        <w:tc>
          <w:tcPr>
            <w:tcW w:type="dxa" w:w="2381"/>
            <w:tcMar>
              <w:top w:w="65" w:type="dxa"/>
              <w:start w:w="70" w:type="dxa"/>
              <w:bottom w:w="65" w:type="dxa"/>
              <w:end w:w="70" w:type="dxa"/>
            </w:tcMar>
            <w:vAlign w:val="top"/>
          </w:tcPr>
          <w:p>
            <w:pPr>
              <w:spacing w:after="0"/>
            </w:pPr>
            <w:r>
              <w:rPr>
                <w:rFonts w:ascii="Arial" w:hAnsi="Arial"/>
                <w:sz w:val="17"/>
              </w:rPr>
              <w:t>Apoyos personales</w:t>
            </w:r>
          </w:p>
        </w:tc>
        <w:tc>
          <w:tcPr>
            <w:tcW w:type="dxa" w:w="7257"/>
            <w:tcMar>
              <w:top w:w="65" w:type="dxa"/>
              <w:start w:w="70" w:type="dxa"/>
              <w:bottom w:w="65" w:type="dxa"/>
              <w:end w:w="70" w:type="dxa"/>
            </w:tcMar>
            <w:vAlign w:val="top"/>
          </w:tcPr>
          <w:p>
            <w:pPr>
              <w:spacing w:after="0"/>
            </w:pPr>
            <w:r>
              <w:rPr>
                <w:rFonts w:ascii="Arial" w:hAnsi="Arial"/>
                <w:sz w:val="17"/>
              </w:rPr>
              <w:t>¿Cuenta con la persona o red de apoyo que utilizaba antes? ¿Necesita asistencia personal temporal o apoyo para actividades cotidianas?</w:t>
            </w:r>
          </w:p>
        </w:tc>
      </w:tr>
      <w:tr>
        <w:tc>
          <w:tcPr>
            <w:tcW w:type="dxa" w:w="2381"/>
            <w:tcMar>
              <w:top w:w="65" w:type="dxa"/>
              <w:start w:w="70" w:type="dxa"/>
              <w:bottom w:w="65" w:type="dxa"/>
              <w:end w:w="70" w:type="dxa"/>
            </w:tcMar>
            <w:vAlign w:val="top"/>
            <w:shd w:fill="FBFCFD"/>
          </w:tcPr>
          <w:p>
            <w:pPr>
              <w:spacing w:after="0"/>
            </w:pPr>
            <w:r>
              <w:rPr>
                <w:rFonts w:ascii="Arial" w:hAnsi="Arial"/>
                <w:sz w:val="17"/>
              </w:rPr>
              <w:t>Tecnología de asistencia</w:t>
            </w:r>
          </w:p>
        </w:tc>
        <w:tc>
          <w:tcPr>
            <w:tcW w:type="dxa" w:w="7257"/>
            <w:tcMar>
              <w:top w:w="65" w:type="dxa"/>
              <w:start w:w="70" w:type="dxa"/>
              <w:bottom w:w="65" w:type="dxa"/>
              <w:end w:w="70" w:type="dxa"/>
            </w:tcMar>
            <w:vAlign w:val="top"/>
            <w:shd w:fill="FBFCFD"/>
          </w:tcPr>
          <w:p>
            <w:pPr>
              <w:spacing w:after="0"/>
            </w:pPr>
            <w:r>
              <w:rPr>
                <w:rFonts w:ascii="Arial" w:hAnsi="Arial"/>
                <w:sz w:val="17"/>
              </w:rPr>
              <w:t>¿Perdió, dañó o dejó de poder cargar/mantener algún producto de apoyo? ¿Qué reemplazo o reparación necesita?</w:t>
            </w:r>
          </w:p>
        </w:tc>
      </w:tr>
      <w:tr>
        <w:tc>
          <w:tcPr>
            <w:tcW w:type="dxa" w:w="2381"/>
            <w:tcMar>
              <w:top w:w="65" w:type="dxa"/>
              <w:start w:w="70" w:type="dxa"/>
              <w:bottom w:w="65" w:type="dxa"/>
              <w:end w:w="70" w:type="dxa"/>
            </w:tcMar>
            <w:vAlign w:val="top"/>
          </w:tcPr>
          <w:p>
            <w:pPr>
              <w:spacing w:after="0"/>
            </w:pPr>
            <w:r>
              <w:rPr>
                <w:rFonts w:ascii="Arial" w:hAnsi="Arial"/>
                <w:sz w:val="17"/>
              </w:rPr>
              <w:t>Servicios esenciales</w:t>
            </w:r>
          </w:p>
        </w:tc>
        <w:tc>
          <w:tcPr>
            <w:tcW w:type="dxa" w:w="7257"/>
            <w:tcMar>
              <w:top w:w="65" w:type="dxa"/>
              <w:start w:w="70" w:type="dxa"/>
              <w:bottom w:w="65" w:type="dxa"/>
              <w:end w:w="70" w:type="dxa"/>
            </w:tcMar>
            <w:vAlign w:val="top"/>
          </w:tcPr>
          <w:p>
            <w:pPr>
              <w:spacing w:after="0"/>
            </w:pPr>
            <w:r>
              <w:rPr>
                <w:rFonts w:ascii="Arial" w:hAnsi="Arial"/>
                <w:sz w:val="17"/>
              </w:rPr>
              <w:t>¿Qué servicios se interrumpieron y cuáles son prioritarios para usted?</w:t>
            </w:r>
          </w:p>
        </w:tc>
      </w:tr>
      <w:tr>
        <w:tc>
          <w:tcPr>
            <w:tcW w:type="dxa" w:w="2381"/>
            <w:tcMar>
              <w:top w:w="65" w:type="dxa"/>
              <w:start w:w="70" w:type="dxa"/>
              <w:bottom w:w="65" w:type="dxa"/>
              <w:end w:w="70" w:type="dxa"/>
            </w:tcMar>
            <w:vAlign w:val="top"/>
            <w:shd w:fill="FBFCFD"/>
          </w:tcPr>
          <w:p>
            <w:pPr>
              <w:spacing w:after="0"/>
            </w:pPr>
            <w:r>
              <w:rPr>
                <w:rFonts w:ascii="Arial" w:hAnsi="Arial"/>
                <w:sz w:val="17"/>
              </w:rPr>
              <w:t>Seguridad y protección</w:t>
            </w:r>
          </w:p>
        </w:tc>
        <w:tc>
          <w:tcPr>
            <w:tcW w:type="dxa" w:w="7257"/>
            <w:tcMar>
              <w:top w:w="65" w:type="dxa"/>
              <w:start w:w="70" w:type="dxa"/>
              <w:bottom w:w="65" w:type="dxa"/>
              <w:end w:w="70" w:type="dxa"/>
            </w:tcMar>
            <w:vAlign w:val="top"/>
            <w:shd w:fill="FBFCFD"/>
          </w:tcPr>
          <w:p>
            <w:pPr>
              <w:spacing w:after="0"/>
            </w:pPr>
            <w:r>
              <w:rPr>
                <w:rFonts w:ascii="Arial" w:hAnsi="Arial"/>
                <w:sz w:val="17"/>
              </w:rPr>
              <w:t>¿Se siente segura/o en el lugar actual? ¿Puede pedir ayuda de manera privada?</w:t>
            </w:r>
          </w:p>
        </w:tc>
      </w:tr>
      <w:tr>
        <w:tc>
          <w:tcPr>
            <w:tcW w:type="dxa" w:w="2381"/>
            <w:tcMar>
              <w:top w:w="65" w:type="dxa"/>
              <w:start w:w="70" w:type="dxa"/>
              <w:bottom w:w="65" w:type="dxa"/>
              <w:end w:w="70" w:type="dxa"/>
            </w:tcMar>
            <w:vAlign w:val="top"/>
          </w:tcPr>
          <w:p>
            <w:pPr>
              <w:spacing w:after="0"/>
            </w:pPr>
            <w:r>
              <w:rPr>
                <w:rFonts w:ascii="Arial" w:hAnsi="Arial"/>
                <w:sz w:val="17"/>
              </w:rPr>
              <w:t>Prioridad de recuperación</w:t>
            </w:r>
          </w:p>
        </w:tc>
        <w:tc>
          <w:tcPr>
            <w:tcW w:type="dxa" w:w="7257"/>
            <w:tcMar>
              <w:top w:w="65" w:type="dxa"/>
              <w:start w:w="70" w:type="dxa"/>
              <w:bottom w:w="65" w:type="dxa"/>
              <w:end w:w="70" w:type="dxa"/>
            </w:tcMar>
            <w:vAlign w:val="top"/>
          </w:tcPr>
          <w:p>
            <w:pPr>
              <w:spacing w:after="0"/>
            </w:pPr>
            <w:r>
              <w:rPr>
                <w:rFonts w:ascii="Arial" w:hAnsi="Arial"/>
                <w:sz w:val="17"/>
              </w:rPr>
              <w:t>¿Qué cambio concreto le permitiría recuperar más rápidamente autonomía, seguridad y participación?</w:t>
            </w:r>
          </w:p>
        </w:tc>
      </w:tr>
    </w:tbl>
    <w:p>
      <w:pPr>
        <w:spacing w:after="40"/>
      </w:pPr>
    </w:p>
    <w:p>
      <w:pPr>
        <w:pStyle w:val="Heading2"/>
      </w:pPr>
      <w:r>
        <w:t>Paso 6. Convierta hallazgos en necesidades y costos de recuperación</w:t>
      </w:r>
    </w:p>
    <w:p>
      <w:r>
        <w:t>El análisis no termina con el registro de barreras. Cada barrera prioritaria debe traducirse en una medida, una entidad responsable, un costo y un plazo. Las necesidades de inclusión deben aparecer en los presupuestos de recuperación, no como un anexo sin financiación.</w:t>
      </w:r>
    </w:p>
    <w:tbl>
      <w:tblPr>
        <w:tblW w:type="auto" w:w="0"/>
        <w:jc w:val="center"/>
        <w:tblLayout w:type="fixed"/>
        <w:tblLook w:firstColumn="1" w:firstRow="1" w:lastColumn="0" w:lastRow="0" w:noHBand="0" w:noVBand="1" w:val="04A0"/>
        <w:tblBorders>
          <w:top w:val="single" w:sz="5" w:space="0" w:color="D9E2E7"/>
          <w:left w:val="single" w:sz="5" w:space="0" w:color="D9E2E7"/>
          <w:bottom w:val="single" w:sz="5" w:space="0" w:color="D9E2E7"/>
          <w:right w:val="single" w:sz="5" w:space="0" w:color="D9E2E7"/>
          <w:insideH w:val="single" w:sz="5" w:space="0" w:color="D9E2E7"/>
          <w:insideV w:val="single" w:sz="5" w:space="0" w:color="D9E2E7"/>
        </w:tblBorders>
      </w:tblPr>
      <w:tblGrid>
        <w:gridCol w:w="5156"/>
        <w:gridCol w:w="5156"/>
      </w:tblGrid>
      <w:tr>
        <w:trPr>
          <w:tblHeader w:val="true"/>
        </w:trPr>
        <w:tc>
          <w:tcPr>
            <w:tcW w:type="dxa" w:w="2438"/>
            <w:shd w:fill="D9F1FA"/>
            <w:tcMar>
              <w:top w:w="70" w:type="dxa"/>
              <w:start w:w="70" w:type="dxa"/>
              <w:bottom w:w="70" w:type="dxa"/>
              <w:end w:w="70" w:type="dxa"/>
            </w:tcMar>
            <w:vAlign w:val="center"/>
          </w:tcPr>
          <w:p>
            <w:pPr>
              <w:spacing w:after="0"/>
              <w:jc w:val="left"/>
            </w:pPr>
            <w:r>
              <w:rPr>
                <w:rFonts w:ascii="Arial" w:hAnsi="Arial"/>
                <w:b/>
                <w:color w:val="232D37"/>
                <w:sz w:val="17"/>
              </w:rPr>
              <w:t>Tipo de necesidad</w:t>
            </w:r>
          </w:p>
        </w:tc>
        <w:tc>
          <w:tcPr>
            <w:tcW w:type="dxa" w:w="7200"/>
            <w:shd w:fill="D9F1FA"/>
            <w:tcMar>
              <w:top w:w="70" w:type="dxa"/>
              <w:start w:w="70" w:type="dxa"/>
              <w:bottom w:w="70" w:type="dxa"/>
              <w:end w:w="70" w:type="dxa"/>
            </w:tcMar>
            <w:vAlign w:val="center"/>
          </w:tcPr>
          <w:p>
            <w:pPr>
              <w:spacing w:after="0"/>
              <w:jc w:val="left"/>
            </w:pPr>
            <w:r>
              <w:rPr>
                <w:rFonts w:ascii="Arial" w:hAnsi="Arial"/>
                <w:b/>
                <w:color w:val="232D37"/>
                <w:sz w:val="17"/>
              </w:rPr>
              <w:t>Qué debe poder costearse</w:t>
            </w:r>
          </w:p>
        </w:tc>
      </w:tr>
      <w:tr>
        <w:tc>
          <w:tcPr>
            <w:tcW w:type="dxa" w:w="2438"/>
            <w:tcMar>
              <w:top w:w="65" w:type="dxa"/>
              <w:start w:w="70" w:type="dxa"/>
              <w:bottom w:w="65" w:type="dxa"/>
              <w:end w:w="70" w:type="dxa"/>
            </w:tcMar>
            <w:vAlign w:val="top"/>
          </w:tcPr>
          <w:p>
            <w:pPr>
              <w:spacing w:after="0"/>
            </w:pPr>
            <w:r>
              <w:rPr>
                <w:rFonts w:ascii="Arial" w:hAnsi="Arial"/>
                <w:sz w:val="17"/>
              </w:rPr>
              <w:t>Accesibilidad física</w:t>
            </w:r>
          </w:p>
        </w:tc>
        <w:tc>
          <w:tcPr>
            <w:tcW w:type="dxa" w:w="7200"/>
            <w:tcMar>
              <w:top w:w="65" w:type="dxa"/>
              <w:start w:w="70" w:type="dxa"/>
              <w:bottom w:w="65" w:type="dxa"/>
              <w:end w:w="70" w:type="dxa"/>
            </w:tcMar>
            <w:vAlign w:val="top"/>
          </w:tcPr>
          <w:p>
            <w:pPr>
              <w:spacing w:after="0"/>
            </w:pPr>
            <w:r>
              <w:rPr>
                <w:rFonts w:ascii="Arial" w:hAnsi="Arial"/>
                <w:sz w:val="17"/>
              </w:rPr>
              <w:t>Reconstrucción con diseño universal; rampas, baños, senderos, señalización, mobiliario y transporte accesibles; auditorías de accesibilidad.</w:t>
            </w:r>
          </w:p>
        </w:tc>
      </w:tr>
      <w:tr>
        <w:tc>
          <w:tcPr>
            <w:tcW w:type="dxa" w:w="2438"/>
            <w:tcMar>
              <w:top w:w="65" w:type="dxa"/>
              <w:start w:w="70" w:type="dxa"/>
              <w:bottom w:w="65" w:type="dxa"/>
              <w:end w:w="70" w:type="dxa"/>
            </w:tcMar>
            <w:vAlign w:val="top"/>
            <w:shd w:fill="FBFCFD"/>
          </w:tcPr>
          <w:p>
            <w:pPr>
              <w:spacing w:after="0"/>
            </w:pPr>
            <w:r>
              <w:rPr>
                <w:rFonts w:ascii="Arial" w:hAnsi="Arial"/>
                <w:sz w:val="17"/>
              </w:rPr>
              <w:t>Comunicación</w:t>
            </w:r>
          </w:p>
        </w:tc>
        <w:tc>
          <w:tcPr>
            <w:tcW w:type="dxa" w:w="7200"/>
            <w:tcMar>
              <w:top w:w="65" w:type="dxa"/>
              <w:start w:w="70" w:type="dxa"/>
              <w:bottom w:w="65" w:type="dxa"/>
              <w:end w:w="70" w:type="dxa"/>
            </w:tcMar>
            <w:vAlign w:val="top"/>
            <w:shd w:fill="FBFCFD"/>
          </w:tcPr>
          <w:p>
            <w:pPr>
              <w:spacing w:after="0"/>
            </w:pPr>
            <w:r>
              <w:rPr>
                <w:rFonts w:ascii="Arial" w:hAnsi="Arial"/>
                <w:sz w:val="17"/>
              </w:rPr>
              <w:t>Interpretación en LSC; materiales en lectura fácil, audio, pictogramas y formatos digitales accesibles; altavoces/alertas complementados con mensajes visuales y vibratorios cuando corresponda.</w:t>
            </w:r>
          </w:p>
        </w:tc>
      </w:tr>
      <w:tr>
        <w:tc>
          <w:tcPr>
            <w:tcW w:type="dxa" w:w="2438"/>
            <w:tcMar>
              <w:top w:w="65" w:type="dxa"/>
              <w:start w:w="70" w:type="dxa"/>
              <w:bottom w:w="65" w:type="dxa"/>
              <w:end w:w="70" w:type="dxa"/>
            </w:tcMar>
            <w:vAlign w:val="top"/>
          </w:tcPr>
          <w:p>
            <w:pPr>
              <w:spacing w:after="0"/>
            </w:pPr>
            <w:r>
              <w:rPr>
                <w:rFonts w:ascii="Arial" w:hAnsi="Arial"/>
                <w:sz w:val="17"/>
              </w:rPr>
              <w:t>Apoyos y autonomía</w:t>
            </w:r>
          </w:p>
        </w:tc>
        <w:tc>
          <w:tcPr>
            <w:tcW w:type="dxa" w:w="7200"/>
            <w:tcMar>
              <w:top w:w="65" w:type="dxa"/>
              <w:start w:w="70" w:type="dxa"/>
              <w:bottom w:w="65" w:type="dxa"/>
              <w:end w:w="70" w:type="dxa"/>
            </w:tcMar>
            <w:vAlign w:val="top"/>
          </w:tcPr>
          <w:p>
            <w:pPr>
              <w:spacing w:after="0"/>
            </w:pPr>
            <w:r>
              <w:rPr>
                <w:rFonts w:ascii="Arial" w:hAnsi="Arial"/>
                <w:sz w:val="17"/>
              </w:rPr>
              <w:t>Reposición/reparación de tecnologías de asistencia; asistencia personal; dispositivos de comunicación; apoyo para movilidad; rehabilitación y mantenimiento.</w:t>
            </w:r>
          </w:p>
        </w:tc>
      </w:tr>
      <w:tr>
        <w:tc>
          <w:tcPr>
            <w:tcW w:type="dxa" w:w="2438"/>
            <w:tcMar>
              <w:top w:w="65" w:type="dxa"/>
              <w:start w:w="70" w:type="dxa"/>
              <w:bottom w:w="65" w:type="dxa"/>
              <w:end w:w="70" w:type="dxa"/>
            </w:tcMar>
            <w:vAlign w:val="top"/>
            <w:shd w:fill="FBFCFD"/>
          </w:tcPr>
          <w:p>
            <w:pPr>
              <w:spacing w:after="0"/>
            </w:pPr>
            <w:r>
              <w:rPr>
                <w:rFonts w:ascii="Arial" w:hAnsi="Arial"/>
                <w:sz w:val="17"/>
              </w:rPr>
              <w:t>Protección social y cuidado</w:t>
            </w:r>
          </w:p>
        </w:tc>
        <w:tc>
          <w:tcPr>
            <w:tcW w:type="dxa" w:w="7200"/>
            <w:tcMar>
              <w:top w:w="65" w:type="dxa"/>
              <w:start w:w="70" w:type="dxa"/>
              <w:bottom w:w="65" w:type="dxa"/>
              <w:end w:w="70" w:type="dxa"/>
            </w:tcMar>
            <w:vAlign w:val="top"/>
            <w:shd w:fill="FBFCFD"/>
          </w:tcPr>
          <w:p>
            <w:pPr>
              <w:spacing w:after="0"/>
            </w:pPr>
            <w:r>
              <w:rPr>
                <w:rFonts w:ascii="Arial" w:hAnsi="Arial"/>
                <w:sz w:val="17"/>
              </w:rPr>
              <w:t>Transferencias accesibles, gestión de casos, continuidad de servicios de cuidado y apoyo, alivio de cargas de cuidado, documentación y rutas de remisión.</w:t>
            </w:r>
          </w:p>
        </w:tc>
      </w:tr>
      <w:tr>
        <w:tc>
          <w:tcPr>
            <w:tcW w:type="dxa" w:w="2438"/>
            <w:tcMar>
              <w:top w:w="65" w:type="dxa"/>
              <w:start w:w="70" w:type="dxa"/>
              <w:bottom w:w="65" w:type="dxa"/>
              <w:end w:w="70" w:type="dxa"/>
            </w:tcMar>
            <w:vAlign w:val="top"/>
          </w:tcPr>
          <w:p>
            <w:pPr>
              <w:spacing w:after="0"/>
            </w:pPr>
            <w:r>
              <w:rPr>
                <w:rFonts w:ascii="Arial" w:hAnsi="Arial"/>
                <w:sz w:val="17"/>
              </w:rPr>
              <w:t>Capacidades</w:t>
            </w:r>
          </w:p>
        </w:tc>
        <w:tc>
          <w:tcPr>
            <w:tcW w:type="dxa" w:w="7200"/>
            <w:tcMar>
              <w:top w:w="65" w:type="dxa"/>
              <w:start w:w="70" w:type="dxa"/>
              <w:bottom w:w="65" w:type="dxa"/>
              <w:end w:w="70" w:type="dxa"/>
            </w:tcMar>
            <w:vAlign w:val="top"/>
          </w:tcPr>
          <w:p>
            <w:pPr>
              <w:spacing w:after="0"/>
            </w:pPr>
            <w:r>
              <w:rPr>
                <w:rFonts w:ascii="Arial" w:hAnsi="Arial"/>
                <w:sz w:val="17"/>
              </w:rPr>
              <w:t>Formación de equipos públicos, comunitarios y humanitarios; acompañamiento de organizaciones de personas con discapacidad; verificación de estándares.</w:t>
            </w:r>
          </w:p>
        </w:tc>
      </w:tr>
      <w:tr>
        <w:tc>
          <w:tcPr>
            <w:tcW w:type="dxa" w:w="2438"/>
            <w:tcMar>
              <w:top w:w="65" w:type="dxa"/>
              <w:start w:w="70" w:type="dxa"/>
              <w:bottom w:w="65" w:type="dxa"/>
              <w:end w:w="70" w:type="dxa"/>
            </w:tcMar>
            <w:vAlign w:val="top"/>
            <w:shd w:fill="FBFCFD"/>
          </w:tcPr>
          <w:p>
            <w:pPr>
              <w:spacing w:after="0"/>
            </w:pPr>
            <w:r>
              <w:rPr>
                <w:rFonts w:ascii="Arial" w:hAnsi="Arial"/>
                <w:sz w:val="17"/>
              </w:rPr>
              <w:t>Participación y rendición de cuentas</w:t>
            </w:r>
          </w:p>
        </w:tc>
        <w:tc>
          <w:tcPr>
            <w:tcW w:type="dxa" w:w="7200"/>
            <w:tcMar>
              <w:top w:w="65" w:type="dxa"/>
              <w:start w:w="70" w:type="dxa"/>
              <w:bottom w:w="65" w:type="dxa"/>
              <w:end w:w="70" w:type="dxa"/>
            </w:tcMar>
            <w:vAlign w:val="top"/>
            <w:shd w:fill="FBFCFD"/>
          </w:tcPr>
          <w:p>
            <w:pPr>
              <w:spacing w:after="0"/>
            </w:pPr>
            <w:r>
              <w:rPr>
                <w:rFonts w:ascii="Arial" w:hAnsi="Arial"/>
                <w:sz w:val="17"/>
              </w:rPr>
              <w:t>Recursos para reuniones accesibles, participación territorial, transporte, apoyos, mecanismos de quejas y seguimiento.</w:t>
            </w:r>
          </w:p>
        </w:tc>
      </w:tr>
    </w:tbl>
    <w:p>
      <w:pPr>
        <w:spacing w:after="40"/>
      </w:pPr>
    </w:p>
    <w:p>
      <w:pPr>
        <w:pStyle w:val="Heading2"/>
      </w:pPr>
      <w:r>
        <w:t>Paso 7. Valide y haga seguimiento con la comunidad</w:t>
      </w:r>
    </w:p>
    <w:p>
      <w:pPr>
        <w:ind w:left="255" w:hanging="142"/>
      </w:pPr>
      <w:r>
        <w:rPr>
          <w:b/>
          <w:color w:val="009BDB"/>
        </w:rPr>
        <w:t xml:space="preserve">• </w:t>
      </w:r>
      <w:r>
        <w:t>Devuelva los hallazgos preliminares en formatos accesibles y permita corregir errores antes de cerrar la evaluación.</w:t>
      </w:r>
    </w:p>
    <w:p>
      <w:pPr>
        <w:ind w:left="255" w:hanging="142"/>
      </w:pPr>
      <w:r>
        <w:rPr>
          <w:b/>
          <w:color w:val="009BDB"/>
        </w:rPr>
        <w:t xml:space="preserve">• </w:t>
      </w:r>
      <w:r>
        <w:t>Valide las prioridades con personas con distintas discapacidades, edades, sexos y lugares de residencia; no consulte únicamente a una organización o a quienes pueden desplazarse a la cabecera municipal.</w:t>
      </w:r>
    </w:p>
    <w:p>
      <w:pPr>
        <w:ind w:left="255" w:hanging="142"/>
      </w:pPr>
      <w:r>
        <w:rPr>
          <w:b/>
          <w:color w:val="009BDB"/>
        </w:rPr>
        <w:t xml:space="preserve">• </w:t>
      </w:r>
      <w:r>
        <w:t>Publique qué se priorizó, qué quedó pendiente, quién es responsable y cómo presentar una queja o actualización.</w:t>
      </w:r>
    </w:p>
    <w:p>
      <w:pPr>
        <w:ind w:left="255" w:hanging="142"/>
      </w:pPr>
      <w:r>
        <w:rPr>
          <w:b/>
          <w:color w:val="009BDB"/>
        </w:rPr>
        <w:t xml:space="preserve">• </w:t>
      </w:r>
      <w:r>
        <w:t>Actualice la información: las necesidades cambian cuando se cierran albergues, se reabren servicios, cambian las rutas o se inicia la reconstrucción.</w:t>
      </w:r>
    </w:p>
    <w:p>
      <w:pPr>
        <w:pStyle w:val="Heading1"/>
      </w:pPr>
      <w:r>
        <w:t>5. Lista de verificación antes y durante el trabajo de campo</w:t>
      </w:r>
    </w:p>
    <w:tbl>
      <w:tblPr>
        <w:tblW w:type="auto" w:w="0"/>
        <w:jc w:val="center"/>
        <w:tblLayout w:type="fixed"/>
        <w:tblLook w:firstColumn="1" w:firstRow="1" w:lastColumn="0" w:lastRow="0" w:noHBand="0" w:noVBand="1" w:val="04A0"/>
        <w:tblBorders>
          <w:top w:val="single" w:sz="5" w:space="0" w:color="D9E2E7"/>
          <w:left w:val="single" w:sz="5" w:space="0" w:color="D9E2E7"/>
          <w:bottom w:val="single" w:sz="5" w:space="0" w:color="D9E2E7"/>
          <w:right w:val="single" w:sz="5" w:space="0" w:color="D9E2E7"/>
          <w:insideH w:val="single" w:sz="5" w:space="0" w:color="D9E2E7"/>
          <w:insideV w:val="single" w:sz="5" w:space="0" w:color="D9E2E7"/>
        </w:tblBorders>
      </w:tblPr>
      <w:tblGrid>
        <w:gridCol w:w="3437"/>
        <w:gridCol w:w="3437"/>
        <w:gridCol w:w="3437"/>
      </w:tblGrid>
      <w:tr>
        <w:trPr>
          <w:tblHeader w:val="true"/>
        </w:trPr>
        <w:tc>
          <w:tcPr>
            <w:tcW w:type="dxa" w:w="1814"/>
            <w:shd w:fill="D9F1FA"/>
            <w:tcMar>
              <w:top w:w="70" w:type="dxa"/>
              <w:start w:w="70" w:type="dxa"/>
              <w:bottom w:w="70" w:type="dxa"/>
              <w:end w:w="70" w:type="dxa"/>
            </w:tcMar>
            <w:vAlign w:val="center"/>
          </w:tcPr>
          <w:p>
            <w:pPr>
              <w:spacing w:after="0"/>
              <w:jc w:val="left"/>
            </w:pPr>
            <w:r>
              <w:rPr>
                <w:rFonts w:ascii="Arial" w:hAnsi="Arial"/>
                <w:b/>
                <w:color w:val="232D37"/>
                <w:sz w:val="16"/>
              </w:rPr>
              <w:t>Dimensión</w:t>
            </w:r>
          </w:p>
        </w:tc>
        <w:tc>
          <w:tcPr>
            <w:tcW w:type="dxa" w:w="7257"/>
            <w:shd w:fill="D9F1FA"/>
            <w:tcMar>
              <w:top w:w="70" w:type="dxa"/>
              <w:start w:w="70" w:type="dxa"/>
              <w:bottom w:w="70" w:type="dxa"/>
              <w:end w:w="70" w:type="dxa"/>
            </w:tcMar>
            <w:vAlign w:val="center"/>
          </w:tcPr>
          <w:p>
            <w:pPr>
              <w:spacing w:after="0"/>
              <w:jc w:val="left"/>
            </w:pPr>
            <w:r>
              <w:rPr>
                <w:rFonts w:ascii="Arial" w:hAnsi="Arial"/>
                <w:b/>
                <w:color w:val="232D37"/>
                <w:sz w:val="16"/>
              </w:rPr>
              <w:t>Verificación mínima</w:t>
            </w:r>
          </w:p>
        </w:tc>
        <w:tc>
          <w:tcPr>
            <w:tcW w:type="dxa" w:w="567"/>
            <w:shd w:fill="D9F1FA"/>
            <w:tcMar>
              <w:top w:w="70" w:type="dxa"/>
              <w:start w:w="70" w:type="dxa"/>
              <w:bottom w:w="70" w:type="dxa"/>
              <w:end w:w="70" w:type="dxa"/>
            </w:tcMar>
            <w:vAlign w:val="center"/>
          </w:tcPr>
          <w:p>
            <w:pPr>
              <w:spacing w:after="0"/>
              <w:jc w:val="left"/>
            </w:pPr>
            <w:r>
              <w:rPr>
                <w:rFonts w:ascii="Arial" w:hAnsi="Arial"/>
                <w:b/>
                <w:color w:val="232D37"/>
                <w:sz w:val="16"/>
              </w:rPr>
              <w:t>Sí</w:t>
            </w:r>
          </w:p>
        </w:tc>
      </w:tr>
      <w:tr>
        <w:tc>
          <w:tcPr>
            <w:tcW w:type="dxa" w:w="1814"/>
            <w:tcMar>
              <w:top w:w="65" w:type="dxa"/>
              <w:start w:w="70" w:type="dxa"/>
              <w:bottom w:w="65" w:type="dxa"/>
              <w:end w:w="70" w:type="dxa"/>
            </w:tcMar>
            <w:vAlign w:val="top"/>
          </w:tcPr>
          <w:p>
            <w:pPr>
              <w:spacing w:after="0"/>
            </w:pPr>
            <w:r>
              <w:rPr>
                <w:rFonts w:ascii="Arial" w:hAnsi="Arial"/>
                <w:sz w:val="16"/>
              </w:rPr>
              <w:t>Gobernanza</w:t>
            </w:r>
          </w:p>
        </w:tc>
        <w:tc>
          <w:tcPr>
            <w:tcW w:type="dxa" w:w="7257"/>
            <w:tcMar>
              <w:top w:w="65" w:type="dxa"/>
              <w:start w:w="70" w:type="dxa"/>
              <w:bottom w:w="65" w:type="dxa"/>
              <w:end w:w="70" w:type="dxa"/>
            </w:tcMar>
            <w:vAlign w:val="top"/>
          </w:tcPr>
          <w:p>
            <w:pPr>
              <w:spacing w:after="0"/>
            </w:pPr>
            <w:r>
              <w:rPr>
                <w:rFonts w:ascii="Arial" w:hAnsi="Arial"/>
                <w:sz w:val="16"/>
              </w:rPr>
              <w:t>Existe responsable de inclusión y organizaciones de personas con discapacidad vinculadas a la evaluación.</w:t>
            </w:r>
          </w:p>
        </w:tc>
        <w:tc>
          <w:tcPr>
            <w:tcW w:type="dxa" w:w="567"/>
            <w:tcMar>
              <w:top w:w="65" w:type="dxa"/>
              <w:start w:w="70" w:type="dxa"/>
              <w:bottom w:w="65" w:type="dxa"/>
              <w:end w:w="70" w:type="dxa"/>
            </w:tcMar>
            <w:vAlign w:val="top"/>
          </w:tcPr>
          <w:p>
            <w:pPr>
              <w:spacing w:after="0"/>
            </w:pPr>
            <w:r>
              <w:rPr>
                <w:rFonts w:ascii="Arial" w:hAnsi="Arial"/>
                <w:sz w:val="16"/>
              </w:rPr>
              <w:t>☐</w:t>
            </w:r>
          </w:p>
        </w:tc>
      </w:tr>
      <w:tr>
        <w:tc>
          <w:tcPr>
            <w:tcW w:type="dxa" w:w="1814"/>
            <w:tcMar>
              <w:top w:w="65" w:type="dxa"/>
              <w:start w:w="70" w:type="dxa"/>
              <w:bottom w:w="65" w:type="dxa"/>
              <w:end w:w="70" w:type="dxa"/>
            </w:tcMar>
            <w:vAlign w:val="top"/>
            <w:shd w:fill="FBFCFD"/>
          </w:tcPr>
          <w:p>
            <w:pPr>
              <w:spacing w:after="0"/>
            </w:pPr>
            <w:r>
              <w:rPr>
                <w:rFonts w:ascii="Arial" w:hAnsi="Arial"/>
                <w:sz w:val="16"/>
              </w:rPr>
              <w:t>Equipo</w:t>
            </w:r>
          </w:p>
        </w:tc>
        <w:tc>
          <w:tcPr>
            <w:tcW w:type="dxa" w:w="7257"/>
            <w:tcMar>
              <w:top w:w="65" w:type="dxa"/>
              <w:start w:w="70" w:type="dxa"/>
              <w:bottom w:w="65" w:type="dxa"/>
              <w:end w:w="70" w:type="dxa"/>
            </w:tcMar>
            <w:vAlign w:val="top"/>
            <w:shd w:fill="FBFCFD"/>
          </w:tcPr>
          <w:p>
            <w:pPr>
              <w:spacing w:after="0"/>
            </w:pPr>
            <w:r>
              <w:rPr>
                <w:rFonts w:ascii="Arial" w:hAnsi="Arial"/>
                <w:sz w:val="16"/>
              </w:rPr>
              <w:t>El personal recibió una orientación breve sobre comunicación, trato digno, autonomía, consentimiento y barreras.</w:t>
            </w:r>
          </w:p>
        </w:tc>
        <w:tc>
          <w:tcPr>
            <w:tcW w:type="dxa" w:w="567"/>
            <w:tcMar>
              <w:top w:w="65" w:type="dxa"/>
              <w:start w:w="70" w:type="dxa"/>
              <w:bottom w:w="65" w:type="dxa"/>
              <w:end w:w="70" w:type="dxa"/>
            </w:tcMar>
            <w:vAlign w:val="top"/>
            <w:shd w:fill="FBFCFD"/>
          </w:tcPr>
          <w:p>
            <w:pPr>
              <w:spacing w:after="0"/>
            </w:pPr>
            <w:r>
              <w:rPr>
                <w:rFonts w:ascii="Arial" w:hAnsi="Arial"/>
                <w:sz w:val="16"/>
              </w:rPr>
              <w:t>☐</w:t>
            </w:r>
          </w:p>
        </w:tc>
      </w:tr>
      <w:tr>
        <w:tc>
          <w:tcPr>
            <w:tcW w:type="dxa" w:w="1814"/>
            <w:tcMar>
              <w:top w:w="65" w:type="dxa"/>
              <w:start w:w="70" w:type="dxa"/>
              <w:bottom w:w="65" w:type="dxa"/>
              <w:end w:w="70" w:type="dxa"/>
            </w:tcMar>
            <w:vAlign w:val="top"/>
          </w:tcPr>
          <w:p>
            <w:pPr>
              <w:spacing w:after="0"/>
            </w:pPr>
            <w:r>
              <w:rPr>
                <w:rFonts w:ascii="Arial" w:hAnsi="Arial"/>
                <w:sz w:val="16"/>
              </w:rPr>
              <w:t>Instrumentos</w:t>
            </w:r>
          </w:p>
        </w:tc>
        <w:tc>
          <w:tcPr>
            <w:tcW w:type="dxa" w:w="7257"/>
            <w:tcMar>
              <w:top w:w="65" w:type="dxa"/>
              <w:start w:w="70" w:type="dxa"/>
              <w:bottom w:w="65" w:type="dxa"/>
              <w:end w:w="70" w:type="dxa"/>
            </w:tcMar>
            <w:vAlign w:val="top"/>
          </w:tcPr>
          <w:p>
            <w:pPr>
              <w:spacing w:after="0"/>
            </w:pPr>
            <w:r>
              <w:rPr>
                <w:rFonts w:ascii="Arial" w:hAnsi="Arial"/>
                <w:sz w:val="16"/>
              </w:rPr>
              <w:t>Los formularios permiten desagregar por discapacidad, sexo y edad y registrar apoyos, barreras y pérdida de tecnologías de asistencia.</w:t>
            </w:r>
          </w:p>
        </w:tc>
        <w:tc>
          <w:tcPr>
            <w:tcW w:type="dxa" w:w="567"/>
            <w:tcMar>
              <w:top w:w="65" w:type="dxa"/>
              <w:start w:w="70" w:type="dxa"/>
              <w:bottom w:w="65" w:type="dxa"/>
              <w:end w:w="70" w:type="dxa"/>
            </w:tcMar>
            <w:vAlign w:val="top"/>
          </w:tcPr>
          <w:p>
            <w:pPr>
              <w:spacing w:after="0"/>
            </w:pPr>
            <w:r>
              <w:rPr>
                <w:rFonts w:ascii="Arial" w:hAnsi="Arial"/>
                <w:sz w:val="16"/>
              </w:rPr>
              <w:t>☐</w:t>
            </w:r>
          </w:p>
        </w:tc>
      </w:tr>
      <w:tr>
        <w:tc>
          <w:tcPr>
            <w:tcW w:type="dxa" w:w="1814"/>
            <w:tcMar>
              <w:top w:w="65" w:type="dxa"/>
              <w:start w:w="70" w:type="dxa"/>
              <w:bottom w:w="65" w:type="dxa"/>
              <w:end w:w="70" w:type="dxa"/>
            </w:tcMar>
            <w:vAlign w:val="top"/>
            <w:shd w:fill="FBFCFD"/>
          </w:tcPr>
          <w:p>
            <w:pPr>
              <w:spacing w:after="0"/>
            </w:pPr>
            <w:r>
              <w:rPr>
                <w:rFonts w:ascii="Arial" w:hAnsi="Arial"/>
                <w:sz w:val="16"/>
              </w:rPr>
              <w:t>Niñez</w:t>
            </w:r>
          </w:p>
        </w:tc>
        <w:tc>
          <w:tcPr>
            <w:tcW w:type="dxa" w:w="7257"/>
            <w:tcMar>
              <w:top w:w="65" w:type="dxa"/>
              <w:start w:w="70" w:type="dxa"/>
              <w:bottom w:w="65" w:type="dxa"/>
              <w:end w:w="70" w:type="dxa"/>
            </w:tcMar>
            <w:vAlign w:val="top"/>
            <w:shd w:fill="FBFCFD"/>
          </w:tcPr>
          <w:p>
            <w:pPr>
              <w:spacing w:after="0"/>
            </w:pPr>
            <w:r>
              <w:rPr>
                <w:rFonts w:ascii="Arial" w:hAnsi="Arial"/>
                <w:sz w:val="16"/>
              </w:rPr>
              <w:t>Se definió el instrumento apropiado para niñas y niños; no se usa el conjunto breve de adultos como sustituto del módulo infantil.</w:t>
            </w:r>
          </w:p>
        </w:tc>
        <w:tc>
          <w:tcPr>
            <w:tcW w:type="dxa" w:w="567"/>
            <w:tcMar>
              <w:top w:w="65" w:type="dxa"/>
              <w:start w:w="70" w:type="dxa"/>
              <w:bottom w:w="65" w:type="dxa"/>
              <w:end w:w="70" w:type="dxa"/>
            </w:tcMar>
            <w:vAlign w:val="top"/>
            <w:shd w:fill="FBFCFD"/>
          </w:tcPr>
          <w:p>
            <w:pPr>
              <w:spacing w:after="0"/>
            </w:pPr>
            <w:r>
              <w:rPr>
                <w:rFonts w:ascii="Arial" w:hAnsi="Arial"/>
                <w:sz w:val="16"/>
              </w:rPr>
              <w:t>☐</w:t>
            </w:r>
          </w:p>
        </w:tc>
      </w:tr>
      <w:tr>
        <w:tc>
          <w:tcPr>
            <w:tcW w:type="dxa" w:w="1814"/>
            <w:tcMar>
              <w:top w:w="65" w:type="dxa"/>
              <w:start w:w="70" w:type="dxa"/>
              <w:bottom w:w="65" w:type="dxa"/>
              <w:end w:w="70" w:type="dxa"/>
            </w:tcMar>
            <w:vAlign w:val="top"/>
          </w:tcPr>
          <w:p>
            <w:pPr>
              <w:spacing w:after="0"/>
            </w:pPr>
            <w:r>
              <w:rPr>
                <w:rFonts w:ascii="Arial" w:hAnsi="Arial"/>
                <w:sz w:val="16"/>
              </w:rPr>
              <w:t>Accesibilidad física</w:t>
            </w:r>
          </w:p>
        </w:tc>
        <w:tc>
          <w:tcPr>
            <w:tcW w:type="dxa" w:w="7257"/>
            <w:tcMar>
              <w:top w:w="65" w:type="dxa"/>
              <w:start w:w="70" w:type="dxa"/>
              <w:bottom w:w="65" w:type="dxa"/>
              <w:end w:w="70" w:type="dxa"/>
            </w:tcMar>
            <w:vAlign w:val="top"/>
          </w:tcPr>
          <w:p>
            <w:pPr>
              <w:spacing w:after="0"/>
            </w:pPr>
            <w:r>
              <w:rPr>
                <w:rFonts w:ascii="Arial" w:hAnsi="Arial"/>
                <w:sz w:val="16"/>
              </w:rPr>
              <w:t>Los puntos de entrevista y reunión son accesibles o existe una alternativa domiciliaria/comunitaria.</w:t>
            </w:r>
          </w:p>
        </w:tc>
        <w:tc>
          <w:tcPr>
            <w:tcW w:type="dxa" w:w="567"/>
            <w:tcMar>
              <w:top w:w="65" w:type="dxa"/>
              <w:start w:w="70" w:type="dxa"/>
              <w:bottom w:w="65" w:type="dxa"/>
              <w:end w:w="70" w:type="dxa"/>
            </w:tcMar>
            <w:vAlign w:val="top"/>
          </w:tcPr>
          <w:p>
            <w:pPr>
              <w:spacing w:after="0"/>
            </w:pPr>
            <w:r>
              <w:rPr>
                <w:rFonts w:ascii="Arial" w:hAnsi="Arial"/>
                <w:sz w:val="16"/>
              </w:rPr>
              <w:t>☐</w:t>
            </w:r>
          </w:p>
        </w:tc>
      </w:tr>
      <w:tr>
        <w:tc>
          <w:tcPr>
            <w:tcW w:type="dxa" w:w="1814"/>
            <w:tcMar>
              <w:top w:w="65" w:type="dxa"/>
              <w:start w:w="70" w:type="dxa"/>
              <w:bottom w:w="65" w:type="dxa"/>
              <w:end w:w="70" w:type="dxa"/>
            </w:tcMar>
            <w:vAlign w:val="top"/>
            <w:shd w:fill="FBFCFD"/>
          </w:tcPr>
          <w:p>
            <w:pPr>
              <w:spacing w:after="0"/>
            </w:pPr>
            <w:r>
              <w:rPr>
                <w:rFonts w:ascii="Arial" w:hAnsi="Arial"/>
                <w:sz w:val="16"/>
              </w:rPr>
              <w:t>Comunicación</w:t>
            </w:r>
          </w:p>
        </w:tc>
        <w:tc>
          <w:tcPr>
            <w:tcW w:type="dxa" w:w="7257"/>
            <w:tcMar>
              <w:top w:w="65" w:type="dxa"/>
              <w:start w:w="70" w:type="dxa"/>
              <w:bottom w:w="65" w:type="dxa"/>
              <w:end w:w="70" w:type="dxa"/>
            </w:tcMar>
            <w:vAlign w:val="top"/>
            <w:shd w:fill="FBFCFD"/>
          </w:tcPr>
          <w:p>
            <w:pPr>
              <w:spacing w:after="0"/>
            </w:pPr>
            <w:r>
              <w:rPr>
                <w:rFonts w:ascii="Arial" w:hAnsi="Arial"/>
                <w:sz w:val="16"/>
              </w:rPr>
              <w:t>Hay opciones de LSC, lectura fácil, pictogramas, audio, texto o letra grande, según necesidad.</w:t>
            </w:r>
          </w:p>
        </w:tc>
        <w:tc>
          <w:tcPr>
            <w:tcW w:type="dxa" w:w="567"/>
            <w:tcMar>
              <w:top w:w="65" w:type="dxa"/>
              <w:start w:w="70" w:type="dxa"/>
              <w:bottom w:w="65" w:type="dxa"/>
              <w:end w:w="70" w:type="dxa"/>
            </w:tcMar>
            <w:vAlign w:val="top"/>
            <w:shd w:fill="FBFCFD"/>
          </w:tcPr>
          <w:p>
            <w:pPr>
              <w:spacing w:after="0"/>
            </w:pPr>
            <w:r>
              <w:rPr>
                <w:rFonts w:ascii="Arial" w:hAnsi="Arial"/>
                <w:sz w:val="16"/>
              </w:rPr>
              <w:t>☐</w:t>
            </w:r>
          </w:p>
        </w:tc>
      </w:tr>
      <w:tr>
        <w:tc>
          <w:tcPr>
            <w:tcW w:type="dxa" w:w="1814"/>
            <w:tcMar>
              <w:top w:w="65" w:type="dxa"/>
              <w:start w:w="70" w:type="dxa"/>
              <w:bottom w:w="65" w:type="dxa"/>
              <w:end w:w="70" w:type="dxa"/>
            </w:tcMar>
            <w:vAlign w:val="top"/>
          </w:tcPr>
          <w:p>
            <w:pPr>
              <w:spacing w:after="0"/>
            </w:pPr>
            <w:r>
              <w:rPr>
                <w:rFonts w:ascii="Arial" w:hAnsi="Arial"/>
                <w:sz w:val="16"/>
              </w:rPr>
              <w:t>Consentimiento</w:t>
            </w:r>
          </w:p>
        </w:tc>
        <w:tc>
          <w:tcPr>
            <w:tcW w:type="dxa" w:w="7257"/>
            <w:tcMar>
              <w:top w:w="65" w:type="dxa"/>
              <w:start w:w="70" w:type="dxa"/>
              <w:bottom w:w="65" w:type="dxa"/>
              <w:end w:w="70" w:type="dxa"/>
            </w:tcMar>
            <w:vAlign w:val="top"/>
          </w:tcPr>
          <w:p>
            <w:pPr>
              <w:spacing w:after="0"/>
            </w:pPr>
            <w:r>
              <w:rPr>
                <w:rFonts w:ascii="Arial" w:hAnsi="Arial"/>
                <w:sz w:val="16"/>
              </w:rPr>
              <w:t>La persona recibe información comprensible sobre el uso de sus datos y puede aceptar o rechazar participar.</w:t>
            </w:r>
          </w:p>
        </w:tc>
        <w:tc>
          <w:tcPr>
            <w:tcW w:type="dxa" w:w="567"/>
            <w:tcMar>
              <w:top w:w="65" w:type="dxa"/>
              <w:start w:w="70" w:type="dxa"/>
              <w:bottom w:w="65" w:type="dxa"/>
              <w:end w:w="70" w:type="dxa"/>
            </w:tcMar>
            <w:vAlign w:val="top"/>
          </w:tcPr>
          <w:p>
            <w:pPr>
              <w:spacing w:after="0"/>
            </w:pPr>
            <w:r>
              <w:rPr>
                <w:rFonts w:ascii="Arial" w:hAnsi="Arial"/>
                <w:sz w:val="16"/>
              </w:rPr>
              <w:t>☐</w:t>
            </w:r>
          </w:p>
        </w:tc>
      </w:tr>
      <w:tr>
        <w:tc>
          <w:tcPr>
            <w:tcW w:type="dxa" w:w="1814"/>
            <w:tcMar>
              <w:top w:w="65" w:type="dxa"/>
              <w:start w:w="70" w:type="dxa"/>
              <w:bottom w:w="65" w:type="dxa"/>
              <w:end w:w="70" w:type="dxa"/>
            </w:tcMar>
            <w:vAlign w:val="top"/>
            <w:shd w:fill="FBFCFD"/>
          </w:tcPr>
          <w:p>
            <w:pPr>
              <w:spacing w:after="0"/>
            </w:pPr>
            <w:r>
              <w:rPr>
                <w:rFonts w:ascii="Arial" w:hAnsi="Arial"/>
                <w:sz w:val="16"/>
              </w:rPr>
              <w:t>Privacidad</w:t>
            </w:r>
          </w:p>
        </w:tc>
        <w:tc>
          <w:tcPr>
            <w:tcW w:type="dxa" w:w="7257"/>
            <w:tcMar>
              <w:top w:w="65" w:type="dxa"/>
              <w:start w:w="70" w:type="dxa"/>
              <w:bottom w:w="65" w:type="dxa"/>
              <w:end w:w="70" w:type="dxa"/>
            </w:tcMar>
            <w:vAlign w:val="top"/>
            <w:shd w:fill="FBFCFD"/>
          </w:tcPr>
          <w:p>
            <w:pPr>
              <w:spacing w:after="0"/>
            </w:pPr>
            <w:r>
              <w:rPr>
                <w:rFonts w:ascii="Arial" w:hAnsi="Arial"/>
                <w:sz w:val="16"/>
              </w:rPr>
              <w:t>Las preguntas sensibles se realizan de forma confidencial y sin exponer información personal en listados públicos.</w:t>
            </w:r>
          </w:p>
        </w:tc>
        <w:tc>
          <w:tcPr>
            <w:tcW w:type="dxa" w:w="567"/>
            <w:tcMar>
              <w:top w:w="65" w:type="dxa"/>
              <w:start w:w="70" w:type="dxa"/>
              <w:bottom w:w="65" w:type="dxa"/>
              <w:end w:w="70" w:type="dxa"/>
            </w:tcMar>
            <w:vAlign w:val="top"/>
            <w:shd w:fill="FBFCFD"/>
          </w:tcPr>
          <w:p>
            <w:pPr>
              <w:spacing w:after="0"/>
            </w:pPr>
            <w:r>
              <w:rPr>
                <w:rFonts w:ascii="Arial" w:hAnsi="Arial"/>
                <w:sz w:val="16"/>
              </w:rPr>
              <w:t>☐</w:t>
            </w:r>
          </w:p>
        </w:tc>
      </w:tr>
      <w:tr>
        <w:tc>
          <w:tcPr>
            <w:tcW w:type="dxa" w:w="1814"/>
            <w:tcMar>
              <w:top w:w="65" w:type="dxa"/>
              <w:start w:w="70" w:type="dxa"/>
              <w:bottom w:w="65" w:type="dxa"/>
              <w:end w:w="70" w:type="dxa"/>
            </w:tcMar>
            <w:vAlign w:val="top"/>
          </w:tcPr>
          <w:p>
            <w:pPr>
              <w:spacing w:after="0"/>
            </w:pPr>
            <w:r>
              <w:rPr>
                <w:rFonts w:ascii="Arial" w:hAnsi="Arial"/>
                <w:sz w:val="16"/>
              </w:rPr>
              <w:t>Apoyos</w:t>
            </w:r>
          </w:p>
        </w:tc>
        <w:tc>
          <w:tcPr>
            <w:tcW w:type="dxa" w:w="7257"/>
            <w:tcMar>
              <w:top w:w="65" w:type="dxa"/>
              <w:start w:w="70" w:type="dxa"/>
              <w:bottom w:w="65" w:type="dxa"/>
              <w:end w:w="70" w:type="dxa"/>
            </w:tcMar>
            <w:vAlign w:val="top"/>
          </w:tcPr>
          <w:p>
            <w:pPr>
              <w:spacing w:after="0"/>
            </w:pPr>
            <w:r>
              <w:rPr>
                <w:rFonts w:ascii="Arial" w:hAnsi="Arial"/>
                <w:sz w:val="16"/>
              </w:rPr>
              <w:t>La persona puede usar el apoyo o acompañante que elija, sin que ese apoyo sustituya su respuesta cuando puede responder directamente.</w:t>
            </w:r>
          </w:p>
        </w:tc>
        <w:tc>
          <w:tcPr>
            <w:tcW w:type="dxa" w:w="567"/>
            <w:tcMar>
              <w:top w:w="65" w:type="dxa"/>
              <w:start w:w="70" w:type="dxa"/>
              <w:bottom w:w="65" w:type="dxa"/>
              <w:end w:w="70" w:type="dxa"/>
            </w:tcMar>
            <w:vAlign w:val="top"/>
          </w:tcPr>
          <w:p>
            <w:pPr>
              <w:spacing w:after="0"/>
            </w:pPr>
            <w:r>
              <w:rPr>
                <w:rFonts w:ascii="Arial" w:hAnsi="Arial"/>
                <w:sz w:val="16"/>
              </w:rPr>
              <w:t>☐</w:t>
            </w:r>
          </w:p>
        </w:tc>
      </w:tr>
      <w:tr>
        <w:tc>
          <w:tcPr>
            <w:tcW w:type="dxa" w:w="1814"/>
            <w:tcMar>
              <w:top w:w="65" w:type="dxa"/>
              <w:start w:w="70" w:type="dxa"/>
              <w:bottom w:w="65" w:type="dxa"/>
              <w:end w:w="70" w:type="dxa"/>
            </w:tcMar>
            <w:vAlign w:val="top"/>
            <w:shd w:fill="FBFCFD"/>
          </w:tcPr>
          <w:p>
            <w:pPr>
              <w:spacing w:after="0"/>
            </w:pPr>
            <w:r>
              <w:rPr>
                <w:rFonts w:ascii="Arial" w:hAnsi="Arial"/>
                <w:sz w:val="16"/>
              </w:rPr>
              <w:t>Remisión</w:t>
            </w:r>
          </w:p>
        </w:tc>
        <w:tc>
          <w:tcPr>
            <w:tcW w:type="dxa" w:w="7257"/>
            <w:tcMar>
              <w:top w:w="65" w:type="dxa"/>
              <w:start w:w="70" w:type="dxa"/>
              <w:bottom w:w="65" w:type="dxa"/>
              <w:end w:w="70" w:type="dxa"/>
            </w:tcMar>
            <w:vAlign w:val="top"/>
            <w:shd w:fill="FBFCFD"/>
          </w:tcPr>
          <w:p>
            <w:pPr>
              <w:spacing w:after="0"/>
            </w:pPr>
            <w:r>
              <w:rPr>
                <w:rFonts w:ascii="Arial" w:hAnsi="Arial"/>
                <w:sz w:val="16"/>
              </w:rPr>
              <w:t>El equipo conoce rutas para necesidades urgentes: salud, protección, apoyos técnicos, violencia, reunificación, alojamiento y asistencia humanitaria.</w:t>
            </w:r>
          </w:p>
        </w:tc>
        <w:tc>
          <w:tcPr>
            <w:tcW w:type="dxa" w:w="567"/>
            <w:tcMar>
              <w:top w:w="65" w:type="dxa"/>
              <w:start w:w="70" w:type="dxa"/>
              <w:bottom w:w="65" w:type="dxa"/>
              <w:end w:w="70" w:type="dxa"/>
            </w:tcMar>
            <w:vAlign w:val="top"/>
            <w:shd w:fill="FBFCFD"/>
          </w:tcPr>
          <w:p>
            <w:pPr>
              <w:spacing w:after="0"/>
            </w:pPr>
            <w:r>
              <w:rPr>
                <w:rFonts w:ascii="Arial" w:hAnsi="Arial"/>
                <w:sz w:val="16"/>
              </w:rPr>
              <w:t>☐</w:t>
            </w:r>
          </w:p>
        </w:tc>
      </w:tr>
      <w:tr>
        <w:tc>
          <w:tcPr>
            <w:tcW w:type="dxa" w:w="1814"/>
            <w:tcMar>
              <w:top w:w="65" w:type="dxa"/>
              <w:start w:w="70" w:type="dxa"/>
              <w:bottom w:w="65" w:type="dxa"/>
              <w:end w:w="70" w:type="dxa"/>
            </w:tcMar>
            <w:vAlign w:val="top"/>
          </w:tcPr>
          <w:p>
            <w:pPr>
              <w:spacing w:after="0"/>
            </w:pPr>
            <w:r>
              <w:rPr>
                <w:rFonts w:ascii="Arial" w:hAnsi="Arial"/>
                <w:sz w:val="16"/>
              </w:rPr>
              <w:t>Validación</w:t>
            </w:r>
          </w:p>
        </w:tc>
        <w:tc>
          <w:tcPr>
            <w:tcW w:type="dxa" w:w="7257"/>
            <w:tcMar>
              <w:top w:w="65" w:type="dxa"/>
              <w:start w:w="70" w:type="dxa"/>
              <w:bottom w:w="65" w:type="dxa"/>
              <w:end w:w="70" w:type="dxa"/>
            </w:tcMar>
            <w:vAlign w:val="top"/>
          </w:tcPr>
          <w:p>
            <w:pPr>
              <w:spacing w:after="0"/>
            </w:pPr>
            <w:r>
              <w:rPr>
                <w:rFonts w:ascii="Arial" w:hAnsi="Arial"/>
                <w:sz w:val="16"/>
              </w:rPr>
              <w:t>Se programó una devolución accesible de resultados con la comunidad.</w:t>
            </w:r>
          </w:p>
        </w:tc>
        <w:tc>
          <w:tcPr>
            <w:tcW w:type="dxa" w:w="567"/>
            <w:tcMar>
              <w:top w:w="65" w:type="dxa"/>
              <w:start w:w="70" w:type="dxa"/>
              <w:bottom w:w="65" w:type="dxa"/>
              <w:end w:w="70" w:type="dxa"/>
            </w:tcMar>
            <w:vAlign w:val="top"/>
          </w:tcPr>
          <w:p>
            <w:pPr>
              <w:spacing w:after="0"/>
            </w:pPr>
            <w:r>
              <w:rPr>
                <w:rFonts w:ascii="Arial" w:hAnsi="Arial"/>
                <w:sz w:val="16"/>
              </w:rPr>
              <w:t>☐</w:t>
            </w:r>
          </w:p>
        </w:tc>
      </w:tr>
      <w:tr>
        <w:tc>
          <w:tcPr>
            <w:tcW w:type="dxa" w:w="1814"/>
            <w:tcMar>
              <w:top w:w="65" w:type="dxa"/>
              <w:start w:w="70" w:type="dxa"/>
              <w:bottom w:w="65" w:type="dxa"/>
              <w:end w:w="70" w:type="dxa"/>
            </w:tcMar>
            <w:vAlign w:val="top"/>
            <w:shd w:fill="FBFCFD"/>
          </w:tcPr>
          <w:p>
            <w:pPr>
              <w:spacing w:after="0"/>
            </w:pPr>
            <w:r>
              <w:rPr>
                <w:rFonts w:ascii="Arial" w:hAnsi="Arial"/>
                <w:sz w:val="16"/>
              </w:rPr>
              <w:t>Presupuesto</w:t>
            </w:r>
          </w:p>
        </w:tc>
        <w:tc>
          <w:tcPr>
            <w:tcW w:type="dxa" w:w="7257"/>
            <w:tcMar>
              <w:top w:w="65" w:type="dxa"/>
              <w:start w:w="70" w:type="dxa"/>
              <w:bottom w:w="65" w:type="dxa"/>
              <w:end w:w="70" w:type="dxa"/>
            </w:tcMar>
            <w:vAlign w:val="top"/>
            <w:shd w:fill="FBFCFD"/>
          </w:tcPr>
          <w:p>
            <w:pPr>
              <w:spacing w:after="0"/>
            </w:pPr>
            <w:r>
              <w:rPr>
                <w:rFonts w:ascii="Arial" w:hAnsi="Arial"/>
                <w:sz w:val="16"/>
              </w:rPr>
              <w:t>Las necesidades de accesibilidad y apoyos se incorporarán en el cálculo de recuperación.</w:t>
            </w:r>
          </w:p>
        </w:tc>
        <w:tc>
          <w:tcPr>
            <w:tcW w:type="dxa" w:w="567"/>
            <w:tcMar>
              <w:top w:w="65" w:type="dxa"/>
              <w:start w:w="70" w:type="dxa"/>
              <w:bottom w:w="65" w:type="dxa"/>
              <w:end w:w="70" w:type="dxa"/>
            </w:tcMar>
            <w:vAlign w:val="top"/>
            <w:shd w:fill="FBFCFD"/>
          </w:tcPr>
          <w:p>
            <w:pPr>
              <w:spacing w:after="0"/>
            </w:pPr>
            <w:r>
              <w:rPr>
                <w:rFonts w:ascii="Arial" w:hAnsi="Arial"/>
                <w:sz w:val="16"/>
              </w:rPr>
              <w:t>☐</w:t>
            </w:r>
          </w:p>
        </w:tc>
      </w:tr>
    </w:tbl>
    <w:p>
      <w:pPr>
        <w:spacing w:after="40"/>
      </w:pPr>
    </w:p>
    <w:p>
      <w:pPr>
        <w:pStyle w:val="Heading1"/>
      </w:pPr>
      <w:r>
        <w:t>6. Cómo realizar una entrevista respetuosa y accesible</w:t>
      </w:r>
    </w:p>
    <w:tbl>
      <w:tblPr>
        <w:tblW w:type="auto" w:w="0"/>
        <w:jc w:val="center"/>
        <w:tblLayout w:type="fixed"/>
        <w:tblLook w:firstColumn="1" w:firstRow="1" w:lastColumn="0" w:lastRow="0" w:noHBand="0" w:noVBand="1" w:val="04A0"/>
        <w:tblBorders>
          <w:top w:val="single" w:sz="5" w:space="0" w:color="D9E2E7"/>
          <w:left w:val="single" w:sz="5" w:space="0" w:color="D9E2E7"/>
          <w:bottom w:val="single" w:sz="5" w:space="0" w:color="D9E2E7"/>
          <w:right w:val="single" w:sz="5" w:space="0" w:color="D9E2E7"/>
          <w:insideH w:val="single" w:sz="5" w:space="0" w:color="D9E2E7"/>
          <w:insideV w:val="single" w:sz="5" w:space="0" w:color="D9E2E7"/>
        </w:tblBorders>
      </w:tblPr>
      <w:tblGrid>
        <w:gridCol w:w="2578"/>
        <w:gridCol w:w="2578"/>
        <w:gridCol w:w="2578"/>
        <w:gridCol w:w="2578"/>
      </w:tblGrid>
      <w:tr>
        <w:trPr>
          <w:tblHeader w:val="true"/>
        </w:trPr>
        <w:tc>
          <w:tcPr>
            <w:tcW w:type="dxa" w:w="1417"/>
            <w:shd w:fill="D9F1FA"/>
            <w:tcMar>
              <w:top w:w="70" w:type="dxa"/>
              <w:start w:w="70" w:type="dxa"/>
              <w:bottom w:w="70" w:type="dxa"/>
              <w:end w:w="70" w:type="dxa"/>
            </w:tcMar>
            <w:vAlign w:val="center"/>
          </w:tcPr>
          <w:p>
            <w:pPr>
              <w:spacing w:after="0"/>
              <w:jc w:val="left"/>
            </w:pPr>
            <w:r>
              <w:rPr>
                <w:rFonts w:ascii="Arial" w:hAnsi="Arial"/>
                <w:b/>
                <w:color w:val="232D37"/>
                <w:sz w:val="16"/>
              </w:rPr>
              <w:t>Práctica recomendada</w:t>
            </w:r>
          </w:p>
        </w:tc>
        <w:tc>
          <w:tcPr>
            <w:tcW w:type="dxa" w:w="3458"/>
            <w:shd w:fill="D9F1FA"/>
            <w:tcMar>
              <w:top w:w="70" w:type="dxa"/>
              <w:start w:w="70" w:type="dxa"/>
              <w:bottom w:w="70" w:type="dxa"/>
              <w:end w:w="70" w:type="dxa"/>
            </w:tcMar>
            <w:vAlign w:val="center"/>
          </w:tcPr>
          <w:p>
            <w:pPr>
              <w:spacing w:after="0"/>
              <w:jc w:val="left"/>
            </w:pPr>
            <w:r>
              <w:rPr>
                <w:rFonts w:ascii="Arial" w:hAnsi="Arial"/>
                <w:b/>
                <w:color w:val="232D37"/>
                <w:sz w:val="16"/>
              </w:rPr>
              <w:t>Qué significa</w:t>
            </w:r>
          </w:p>
        </w:tc>
        <w:tc>
          <w:tcPr>
            <w:tcW w:type="dxa" w:w="1134"/>
            <w:shd w:fill="D9F1FA"/>
            <w:tcMar>
              <w:top w:w="70" w:type="dxa"/>
              <w:start w:w="70" w:type="dxa"/>
              <w:bottom w:w="70" w:type="dxa"/>
              <w:end w:w="70" w:type="dxa"/>
            </w:tcMar>
            <w:vAlign w:val="center"/>
          </w:tcPr>
          <w:p>
            <w:pPr>
              <w:spacing w:after="0"/>
              <w:jc w:val="left"/>
            </w:pPr>
            <w:r>
              <w:rPr>
                <w:rFonts w:ascii="Arial" w:hAnsi="Arial"/>
                <w:b/>
                <w:color w:val="232D37"/>
                <w:sz w:val="16"/>
              </w:rPr>
              <w:t>Evitar</w:t>
            </w:r>
          </w:p>
        </w:tc>
        <w:tc>
          <w:tcPr>
            <w:tcW w:type="dxa" w:w="3628"/>
            <w:shd w:fill="D9F1FA"/>
            <w:tcMar>
              <w:top w:w="70" w:type="dxa"/>
              <w:start w:w="70" w:type="dxa"/>
              <w:bottom w:w="70" w:type="dxa"/>
              <w:end w:w="70" w:type="dxa"/>
            </w:tcMar>
            <w:vAlign w:val="center"/>
          </w:tcPr>
          <w:p>
            <w:pPr>
              <w:spacing w:after="0"/>
              <w:jc w:val="left"/>
            </w:pPr>
            <w:r>
              <w:rPr>
                <w:rFonts w:ascii="Arial" w:hAnsi="Arial"/>
                <w:b/>
                <w:color w:val="232D37"/>
                <w:sz w:val="16"/>
              </w:rPr>
              <w:t>Por qué</w:t>
            </w:r>
          </w:p>
        </w:tc>
      </w:tr>
      <w:tr>
        <w:tc>
          <w:tcPr>
            <w:tcW w:type="dxa" w:w="1417"/>
            <w:tcMar>
              <w:top w:w="65" w:type="dxa"/>
              <w:start w:w="70" w:type="dxa"/>
              <w:bottom w:w="65" w:type="dxa"/>
              <w:end w:w="70" w:type="dxa"/>
            </w:tcMar>
            <w:vAlign w:val="top"/>
          </w:tcPr>
          <w:p>
            <w:pPr>
              <w:spacing w:after="0"/>
            </w:pPr>
            <w:r>
              <w:rPr>
                <w:rFonts w:ascii="Arial" w:hAnsi="Arial"/>
                <w:sz w:val="16"/>
              </w:rPr>
              <w:t>Haga</w:t>
            </w:r>
          </w:p>
        </w:tc>
        <w:tc>
          <w:tcPr>
            <w:tcW w:type="dxa" w:w="3458"/>
            <w:tcMar>
              <w:top w:w="65" w:type="dxa"/>
              <w:start w:w="70" w:type="dxa"/>
              <w:bottom w:w="65" w:type="dxa"/>
              <w:end w:w="70" w:type="dxa"/>
            </w:tcMar>
            <w:vAlign w:val="top"/>
          </w:tcPr>
          <w:p>
            <w:pPr>
              <w:spacing w:after="0"/>
            </w:pPr>
            <w:r>
              <w:rPr>
                <w:rFonts w:ascii="Arial" w:hAnsi="Arial"/>
                <w:sz w:val="16"/>
              </w:rPr>
              <w:t>Diríjase directamente a la persona, aunque esté acompañada.</w:t>
            </w:r>
          </w:p>
        </w:tc>
        <w:tc>
          <w:tcPr>
            <w:tcW w:type="dxa" w:w="1134"/>
            <w:tcMar>
              <w:top w:w="65" w:type="dxa"/>
              <w:start w:w="70" w:type="dxa"/>
              <w:bottom w:w="65" w:type="dxa"/>
              <w:end w:w="70" w:type="dxa"/>
            </w:tcMar>
            <w:vAlign w:val="top"/>
          </w:tcPr>
          <w:p>
            <w:pPr>
              <w:spacing w:after="0"/>
            </w:pPr>
            <w:r>
              <w:rPr>
                <w:rFonts w:ascii="Arial" w:hAnsi="Arial"/>
                <w:sz w:val="16"/>
              </w:rPr>
              <w:t>No haga</w:t>
            </w:r>
          </w:p>
        </w:tc>
        <w:tc>
          <w:tcPr>
            <w:tcW w:type="dxa" w:w="3628"/>
            <w:tcMar>
              <w:top w:w="65" w:type="dxa"/>
              <w:start w:w="70" w:type="dxa"/>
              <w:bottom w:w="65" w:type="dxa"/>
              <w:end w:w="70" w:type="dxa"/>
            </w:tcMar>
            <w:vAlign w:val="top"/>
          </w:tcPr>
          <w:p>
            <w:pPr>
              <w:spacing w:after="0"/>
            </w:pPr>
            <w:r>
              <w:rPr>
                <w:rFonts w:ascii="Arial" w:hAnsi="Arial"/>
                <w:sz w:val="16"/>
              </w:rPr>
              <w:t>Hablar solo con el familiar, cuidador o intérprete.</w:t>
            </w:r>
          </w:p>
        </w:tc>
      </w:tr>
      <w:tr>
        <w:tc>
          <w:tcPr>
            <w:tcW w:type="dxa" w:w="1417"/>
            <w:tcMar>
              <w:top w:w="65" w:type="dxa"/>
              <w:start w:w="70" w:type="dxa"/>
              <w:bottom w:w="65" w:type="dxa"/>
              <w:end w:w="70" w:type="dxa"/>
            </w:tcMar>
            <w:vAlign w:val="top"/>
            <w:shd w:fill="FBFCFD"/>
          </w:tcPr>
          <w:p>
            <w:pPr>
              <w:spacing w:after="0"/>
            </w:pPr>
            <w:r>
              <w:rPr>
                <w:rFonts w:ascii="Arial" w:hAnsi="Arial"/>
                <w:sz w:val="16"/>
              </w:rPr>
              <w:t>Haga</w:t>
            </w:r>
          </w:p>
        </w:tc>
        <w:tc>
          <w:tcPr>
            <w:tcW w:type="dxa" w:w="3458"/>
            <w:tcMar>
              <w:top w:w="65" w:type="dxa"/>
              <w:start w:w="70" w:type="dxa"/>
              <w:bottom w:w="65" w:type="dxa"/>
              <w:end w:w="70" w:type="dxa"/>
            </w:tcMar>
            <w:vAlign w:val="top"/>
            <w:shd w:fill="FBFCFD"/>
          </w:tcPr>
          <w:p>
            <w:pPr>
              <w:spacing w:after="0"/>
            </w:pPr>
            <w:r>
              <w:rPr>
                <w:rFonts w:ascii="Arial" w:hAnsi="Arial"/>
                <w:sz w:val="16"/>
              </w:rPr>
              <w:t>Pregunte qué apoyo o formato necesita para comunicarse.</w:t>
            </w:r>
          </w:p>
        </w:tc>
        <w:tc>
          <w:tcPr>
            <w:tcW w:type="dxa" w:w="1134"/>
            <w:tcMar>
              <w:top w:w="65" w:type="dxa"/>
              <w:start w:w="70" w:type="dxa"/>
              <w:bottom w:w="65" w:type="dxa"/>
              <w:end w:w="70" w:type="dxa"/>
            </w:tcMar>
            <w:vAlign w:val="top"/>
            <w:shd w:fill="FBFCFD"/>
          </w:tcPr>
          <w:p>
            <w:pPr>
              <w:spacing w:after="0"/>
            </w:pPr>
            <w:r>
              <w:rPr>
                <w:rFonts w:ascii="Arial" w:hAnsi="Arial"/>
                <w:sz w:val="16"/>
              </w:rPr>
              <w:t>No haga</w:t>
            </w:r>
          </w:p>
        </w:tc>
        <w:tc>
          <w:tcPr>
            <w:tcW w:type="dxa" w:w="3628"/>
            <w:tcMar>
              <w:top w:w="65" w:type="dxa"/>
              <w:start w:w="70" w:type="dxa"/>
              <w:bottom w:w="65" w:type="dxa"/>
              <w:end w:w="70" w:type="dxa"/>
            </w:tcMar>
            <w:vAlign w:val="top"/>
            <w:shd w:fill="FBFCFD"/>
          </w:tcPr>
          <w:p>
            <w:pPr>
              <w:spacing w:after="0"/>
            </w:pPr>
            <w:r>
              <w:rPr>
                <w:rFonts w:ascii="Arial" w:hAnsi="Arial"/>
                <w:sz w:val="16"/>
              </w:rPr>
              <w:t>Asumir que todas las personas con la misma discapacidad necesitan el mismo ajuste.</w:t>
            </w:r>
          </w:p>
        </w:tc>
      </w:tr>
      <w:tr>
        <w:tc>
          <w:tcPr>
            <w:tcW w:type="dxa" w:w="1417"/>
            <w:tcMar>
              <w:top w:w="65" w:type="dxa"/>
              <w:start w:w="70" w:type="dxa"/>
              <w:bottom w:w="65" w:type="dxa"/>
              <w:end w:w="70" w:type="dxa"/>
            </w:tcMar>
            <w:vAlign w:val="top"/>
          </w:tcPr>
          <w:p>
            <w:pPr>
              <w:spacing w:after="0"/>
            </w:pPr>
            <w:r>
              <w:rPr>
                <w:rFonts w:ascii="Arial" w:hAnsi="Arial"/>
                <w:sz w:val="16"/>
              </w:rPr>
              <w:t>Haga</w:t>
            </w:r>
          </w:p>
        </w:tc>
        <w:tc>
          <w:tcPr>
            <w:tcW w:type="dxa" w:w="3458"/>
            <w:tcMar>
              <w:top w:w="65" w:type="dxa"/>
              <w:start w:w="70" w:type="dxa"/>
              <w:bottom w:w="65" w:type="dxa"/>
              <w:end w:w="70" w:type="dxa"/>
            </w:tcMar>
            <w:vAlign w:val="top"/>
          </w:tcPr>
          <w:p>
            <w:pPr>
              <w:spacing w:after="0"/>
            </w:pPr>
            <w:r>
              <w:rPr>
                <w:rFonts w:ascii="Arial" w:hAnsi="Arial"/>
                <w:sz w:val="16"/>
              </w:rPr>
              <w:t>Dé tiempo suficiente para responder y permita pausas.</w:t>
            </w:r>
          </w:p>
        </w:tc>
        <w:tc>
          <w:tcPr>
            <w:tcW w:type="dxa" w:w="1134"/>
            <w:tcMar>
              <w:top w:w="65" w:type="dxa"/>
              <w:start w:w="70" w:type="dxa"/>
              <w:bottom w:w="65" w:type="dxa"/>
              <w:end w:w="70" w:type="dxa"/>
            </w:tcMar>
            <w:vAlign w:val="top"/>
          </w:tcPr>
          <w:p>
            <w:pPr>
              <w:spacing w:after="0"/>
            </w:pPr>
            <w:r>
              <w:rPr>
                <w:rFonts w:ascii="Arial" w:hAnsi="Arial"/>
                <w:sz w:val="16"/>
              </w:rPr>
              <w:t>No haga</w:t>
            </w:r>
          </w:p>
        </w:tc>
        <w:tc>
          <w:tcPr>
            <w:tcW w:type="dxa" w:w="3628"/>
            <w:tcMar>
              <w:top w:w="65" w:type="dxa"/>
              <w:start w:w="70" w:type="dxa"/>
              <w:bottom w:w="65" w:type="dxa"/>
              <w:end w:w="70" w:type="dxa"/>
            </w:tcMar>
            <w:vAlign w:val="top"/>
          </w:tcPr>
          <w:p>
            <w:pPr>
              <w:spacing w:after="0"/>
            </w:pPr>
            <w:r>
              <w:rPr>
                <w:rFonts w:ascii="Arial" w:hAnsi="Arial"/>
                <w:sz w:val="16"/>
              </w:rPr>
              <w:t>Completar la respuesta o presionar para acelerar la entrevista.</w:t>
            </w:r>
          </w:p>
        </w:tc>
      </w:tr>
      <w:tr>
        <w:tc>
          <w:tcPr>
            <w:tcW w:type="dxa" w:w="1417"/>
            <w:tcMar>
              <w:top w:w="65" w:type="dxa"/>
              <w:start w:w="70" w:type="dxa"/>
              <w:bottom w:w="65" w:type="dxa"/>
              <w:end w:w="70" w:type="dxa"/>
            </w:tcMar>
            <w:vAlign w:val="top"/>
            <w:shd w:fill="FBFCFD"/>
          </w:tcPr>
          <w:p>
            <w:pPr>
              <w:spacing w:after="0"/>
            </w:pPr>
            <w:r>
              <w:rPr>
                <w:rFonts w:ascii="Arial" w:hAnsi="Arial"/>
                <w:sz w:val="16"/>
              </w:rPr>
              <w:t>Haga</w:t>
            </w:r>
          </w:p>
        </w:tc>
        <w:tc>
          <w:tcPr>
            <w:tcW w:type="dxa" w:w="3458"/>
            <w:tcMar>
              <w:top w:w="65" w:type="dxa"/>
              <w:start w:w="70" w:type="dxa"/>
              <w:bottom w:w="65" w:type="dxa"/>
              <w:end w:w="70" w:type="dxa"/>
            </w:tcMar>
            <w:vAlign w:val="top"/>
            <w:shd w:fill="FBFCFD"/>
          </w:tcPr>
          <w:p>
            <w:pPr>
              <w:spacing w:after="0"/>
            </w:pPr>
            <w:r>
              <w:rPr>
                <w:rFonts w:ascii="Arial" w:hAnsi="Arial"/>
                <w:sz w:val="16"/>
              </w:rPr>
              <w:t>Use lenguaje claro, concreto y respetuoso.</w:t>
            </w:r>
          </w:p>
        </w:tc>
        <w:tc>
          <w:tcPr>
            <w:tcW w:type="dxa" w:w="1134"/>
            <w:tcMar>
              <w:top w:w="65" w:type="dxa"/>
              <w:start w:w="70" w:type="dxa"/>
              <w:bottom w:w="65" w:type="dxa"/>
              <w:end w:w="70" w:type="dxa"/>
            </w:tcMar>
            <w:vAlign w:val="top"/>
            <w:shd w:fill="FBFCFD"/>
          </w:tcPr>
          <w:p>
            <w:pPr>
              <w:spacing w:after="0"/>
            </w:pPr>
            <w:r>
              <w:rPr>
                <w:rFonts w:ascii="Arial" w:hAnsi="Arial"/>
                <w:sz w:val="16"/>
              </w:rPr>
              <w:t>No haga</w:t>
            </w:r>
          </w:p>
        </w:tc>
        <w:tc>
          <w:tcPr>
            <w:tcW w:type="dxa" w:w="3628"/>
            <w:tcMar>
              <w:top w:w="65" w:type="dxa"/>
              <w:start w:w="70" w:type="dxa"/>
              <w:bottom w:w="65" w:type="dxa"/>
              <w:end w:w="70" w:type="dxa"/>
            </w:tcMar>
            <w:vAlign w:val="top"/>
            <w:shd w:fill="FBFCFD"/>
          </w:tcPr>
          <w:p>
            <w:pPr>
              <w:spacing w:after="0"/>
            </w:pPr>
            <w:r>
              <w:rPr>
                <w:rFonts w:ascii="Arial" w:hAnsi="Arial"/>
                <w:sz w:val="16"/>
              </w:rPr>
              <w:t>Usar infantilización, lástima o lenguaje basado en déficit.</w:t>
            </w:r>
          </w:p>
        </w:tc>
      </w:tr>
      <w:tr>
        <w:tc>
          <w:tcPr>
            <w:tcW w:type="dxa" w:w="1417"/>
            <w:tcMar>
              <w:top w:w="65" w:type="dxa"/>
              <w:start w:w="70" w:type="dxa"/>
              <w:bottom w:w="65" w:type="dxa"/>
              <w:end w:w="70" w:type="dxa"/>
            </w:tcMar>
            <w:vAlign w:val="top"/>
          </w:tcPr>
          <w:p>
            <w:pPr>
              <w:spacing w:after="0"/>
            </w:pPr>
            <w:r>
              <w:rPr>
                <w:rFonts w:ascii="Arial" w:hAnsi="Arial"/>
                <w:sz w:val="16"/>
              </w:rPr>
              <w:t>Haga</w:t>
            </w:r>
          </w:p>
        </w:tc>
        <w:tc>
          <w:tcPr>
            <w:tcW w:type="dxa" w:w="3458"/>
            <w:tcMar>
              <w:top w:w="65" w:type="dxa"/>
              <w:start w:w="70" w:type="dxa"/>
              <w:bottom w:w="65" w:type="dxa"/>
              <w:end w:w="70" w:type="dxa"/>
            </w:tcMar>
            <w:vAlign w:val="top"/>
          </w:tcPr>
          <w:p>
            <w:pPr>
              <w:spacing w:after="0"/>
            </w:pPr>
            <w:r>
              <w:rPr>
                <w:rFonts w:ascii="Arial" w:hAnsi="Arial"/>
                <w:sz w:val="16"/>
              </w:rPr>
              <w:t>Explique para qué se usarán los datos y qué puede ocurrir después.</w:t>
            </w:r>
          </w:p>
        </w:tc>
        <w:tc>
          <w:tcPr>
            <w:tcW w:type="dxa" w:w="1134"/>
            <w:tcMar>
              <w:top w:w="65" w:type="dxa"/>
              <w:start w:w="70" w:type="dxa"/>
              <w:bottom w:w="65" w:type="dxa"/>
              <w:end w:w="70" w:type="dxa"/>
            </w:tcMar>
            <w:vAlign w:val="top"/>
          </w:tcPr>
          <w:p>
            <w:pPr>
              <w:spacing w:after="0"/>
            </w:pPr>
            <w:r>
              <w:rPr>
                <w:rFonts w:ascii="Arial" w:hAnsi="Arial"/>
                <w:sz w:val="16"/>
              </w:rPr>
              <w:t>No haga</w:t>
            </w:r>
          </w:p>
        </w:tc>
        <w:tc>
          <w:tcPr>
            <w:tcW w:type="dxa" w:w="3628"/>
            <w:tcMar>
              <w:top w:w="65" w:type="dxa"/>
              <w:start w:w="70" w:type="dxa"/>
              <w:bottom w:w="65" w:type="dxa"/>
              <w:end w:w="70" w:type="dxa"/>
            </w:tcMar>
            <w:vAlign w:val="top"/>
          </w:tcPr>
          <w:p>
            <w:pPr>
              <w:spacing w:after="0"/>
            </w:pPr>
            <w:r>
              <w:rPr>
                <w:rFonts w:ascii="Arial" w:hAnsi="Arial"/>
                <w:sz w:val="16"/>
              </w:rPr>
              <w:t>Prometer ayudas que el equipo no puede garantizar.</w:t>
            </w:r>
          </w:p>
        </w:tc>
      </w:tr>
      <w:tr>
        <w:tc>
          <w:tcPr>
            <w:tcW w:type="dxa" w:w="1417"/>
            <w:tcMar>
              <w:top w:w="65" w:type="dxa"/>
              <w:start w:w="70" w:type="dxa"/>
              <w:bottom w:w="65" w:type="dxa"/>
              <w:end w:w="70" w:type="dxa"/>
            </w:tcMar>
            <w:vAlign w:val="top"/>
            <w:shd w:fill="FBFCFD"/>
          </w:tcPr>
          <w:p>
            <w:pPr>
              <w:spacing w:after="0"/>
            </w:pPr>
            <w:r>
              <w:rPr>
                <w:rFonts w:ascii="Arial" w:hAnsi="Arial"/>
                <w:sz w:val="16"/>
              </w:rPr>
              <w:t>Haga</w:t>
            </w:r>
          </w:p>
        </w:tc>
        <w:tc>
          <w:tcPr>
            <w:tcW w:type="dxa" w:w="3458"/>
            <w:tcMar>
              <w:top w:w="65" w:type="dxa"/>
              <w:start w:w="70" w:type="dxa"/>
              <w:bottom w:w="65" w:type="dxa"/>
              <w:end w:w="70" w:type="dxa"/>
            </w:tcMar>
            <w:vAlign w:val="top"/>
            <w:shd w:fill="FBFCFD"/>
          </w:tcPr>
          <w:p>
            <w:pPr>
              <w:spacing w:after="0"/>
            </w:pPr>
            <w:r>
              <w:rPr>
                <w:rFonts w:ascii="Arial" w:hAnsi="Arial"/>
                <w:sz w:val="16"/>
              </w:rPr>
              <w:t>Pregunte por apoyos y barreras concretas.</w:t>
            </w:r>
          </w:p>
        </w:tc>
        <w:tc>
          <w:tcPr>
            <w:tcW w:type="dxa" w:w="1134"/>
            <w:tcMar>
              <w:top w:w="65" w:type="dxa"/>
              <w:start w:w="70" w:type="dxa"/>
              <w:bottom w:w="65" w:type="dxa"/>
              <w:end w:w="70" w:type="dxa"/>
            </w:tcMar>
            <w:vAlign w:val="top"/>
            <w:shd w:fill="FBFCFD"/>
          </w:tcPr>
          <w:p>
            <w:pPr>
              <w:spacing w:after="0"/>
            </w:pPr>
            <w:r>
              <w:rPr>
                <w:rFonts w:ascii="Arial" w:hAnsi="Arial"/>
                <w:sz w:val="16"/>
              </w:rPr>
              <w:t>No haga</w:t>
            </w:r>
          </w:p>
        </w:tc>
        <w:tc>
          <w:tcPr>
            <w:tcW w:type="dxa" w:w="3628"/>
            <w:tcMar>
              <w:top w:w="65" w:type="dxa"/>
              <w:start w:w="70" w:type="dxa"/>
              <w:bottom w:w="65" w:type="dxa"/>
              <w:end w:w="70" w:type="dxa"/>
            </w:tcMar>
            <w:vAlign w:val="top"/>
            <w:shd w:fill="FBFCFD"/>
          </w:tcPr>
          <w:p>
            <w:pPr>
              <w:spacing w:after="0"/>
            </w:pPr>
            <w:r>
              <w:rPr>
                <w:rFonts w:ascii="Arial" w:hAnsi="Arial"/>
                <w:sz w:val="16"/>
              </w:rPr>
              <w:t>Pedir detalles médicos que no son necesarios para la decisión de respuesta o recuperación.</w:t>
            </w:r>
          </w:p>
        </w:tc>
      </w:tr>
      <w:tr>
        <w:tc>
          <w:tcPr>
            <w:tcW w:type="dxa" w:w="1417"/>
            <w:tcMar>
              <w:top w:w="65" w:type="dxa"/>
              <w:start w:w="70" w:type="dxa"/>
              <w:bottom w:w="65" w:type="dxa"/>
              <w:end w:w="70" w:type="dxa"/>
            </w:tcMar>
            <w:vAlign w:val="top"/>
          </w:tcPr>
          <w:p>
            <w:pPr>
              <w:spacing w:after="0"/>
            </w:pPr>
            <w:r>
              <w:rPr>
                <w:rFonts w:ascii="Arial" w:hAnsi="Arial"/>
                <w:sz w:val="16"/>
              </w:rPr>
              <w:t>Haga</w:t>
            </w:r>
          </w:p>
        </w:tc>
        <w:tc>
          <w:tcPr>
            <w:tcW w:type="dxa" w:w="3458"/>
            <w:tcMar>
              <w:top w:w="65" w:type="dxa"/>
              <w:start w:w="70" w:type="dxa"/>
              <w:bottom w:w="65" w:type="dxa"/>
              <w:end w:w="70" w:type="dxa"/>
            </w:tcMar>
            <w:vAlign w:val="top"/>
          </w:tcPr>
          <w:p>
            <w:pPr>
              <w:spacing w:after="0"/>
            </w:pPr>
            <w:r>
              <w:rPr>
                <w:rFonts w:ascii="Arial" w:hAnsi="Arial"/>
                <w:sz w:val="16"/>
              </w:rPr>
              <w:t>Ofrezca un canal accesible para corregir o actualizar la información.</w:t>
            </w:r>
          </w:p>
        </w:tc>
        <w:tc>
          <w:tcPr>
            <w:tcW w:type="dxa" w:w="1134"/>
            <w:tcMar>
              <w:top w:w="65" w:type="dxa"/>
              <w:start w:w="70" w:type="dxa"/>
              <w:bottom w:w="65" w:type="dxa"/>
              <w:end w:w="70" w:type="dxa"/>
            </w:tcMar>
            <w:vAlign w:val="top"/>
          </w:tcPr>
          <w:p>
            <w:pPr>
              <w:spacing w:after="0"/>
            </w:pPr>
            <w:r>
              <w:rPr>
                <w:rFonts w:ascii="Arial" w:hAnsi="Arial"/>
                <w:sz w:val="16"/>
              </w:rPr>
              <w:t>No haga</w:t>
            </w:r>
          </w:p>
        </w:tc>
        <w:tc>
          <w:tcPr>
            <w:tcW w:type="dxa" w:w="3628"/>
            <w:tcMar>
              <w:top w:w="65" w:type="dxa"/>
              <w:start w:w="70" w:type="dxa"/>
              <w:bottom w:w="65" w:type="dxa"/>
              <w:end w:w="70" w:type="dxa"/>
            </w:tcMar>
            <w:vAlign w:val="top"/>
          </w:tcPr>
          <w:p>
            <w:pPr>
              <w:spacing w:after="0"/>
            </w:pPr>
            <w:r>
              <w:rPr>
                <w:rFonts w:ascii="Arial" w:hAnsi="Arial"/>
                <w:sz w:val="16"/>
              </w:rPr>
              <w:t>Tratar la ficha como información definitiva e inmutable.</w:t>
            </w:r>
          </w:p>
        </w:tc>
      </w:tr>
    </w:tbl>
    <w:p>
      <w:pPr>
        <w:spacing w:after="40"/>
      </w:pPr>
    </w:p>
    <w:p>
      <w:pPr>
        <w:pStyle w:val="Heading1"/>
      </w:pPr>
      <w:r>
        <w:t>7. Preguntas sectoriales que no deben faltar</w:t>
      </w:r>
    </w:p>
    <w:tbl>
      <w:tblPr>
        <w:tblW w:type="auto" w:w="0"/>
        <w:jc w:val="center"/>
        <w:tblLayout w:type="fixed"/>
        <w:tblLook w:firstColumn="1" w:firstRow="1" w:lastColumn="0" w:lastRow="0" w:noHBand="0" w:noVBand="1" w:val="04A0"/>
        <w:tblBorders>
          <w:top w:val="single" w:sz="5" w:space="0" w:color="D9E2E7"/>
          <w:left w:val="single" w:sz="5" w:space="0" w:color="D9E2E7"/>
          <w:bottom w:val="single" w:sz="5" w:space="0" w:color="D9E2E7"/>
          <w:right w:val="single" w:sz="5" w:space="0" w:color="D9E2E7"/>
          <w:insideH w:val="single" w:sz="5" w:space="0" w:color="D9E2E7"/>
          <w:insideV w:val="single" w:sz="5" w:space="0" w:color="D9E2E7"/>
        </w:tblBorders>
      </w:tblPr>
      <w:tblGrid>
        <w:gridCol w:w="5156"/>
        <w:gridCol w:w="5156"/>
      </w:tblGrid>
      <w:tr>
        <w:trPr>
          <w:tblHeader w:val="true"/>
        </w:trPr>
        <w:tc>
          <w:tcPr>
            <w:tcW w:type="dxa" w:w="2324"/>
            <w:shd w:fill="D9F1FA"/>
            <w:tcMar>
              <w:top w:w="70" w:type="dxa"/>
              <w:start w:w="70" w:type="dxa"/>
              <w:bottom w:w="70" w:type="dxa"/>
              <w:end w:w="70" w:type="dxa"/>
            </w:tcMar>
            <w:vAlign w:val="center"/>
          </w:tcPr>
          <w:p>
            <w:pPr>
              <w:spacing w:after="0"/>
              <w:jc w:val="left"/>
            </w:pPr>
            <w:r>
              <w:rPr>
                <w:rFonts w:ascii="Arial" w:hAnsi="Arial"/>
                <w:b/>
                <w:color w:val="232D37"/>
                <w:sz w:val="17"/>
              </w:rPr>
              <w:t>Sector</w:t>
            </w:r>
          </w:p>
        </w:tc>
        <w:tc>
          <w:tcPr>
            <w:tcW w:type="dxa" w:w="7313"/>
            <w:shd w:fill="D9F1FA"/>
            <w:tcMar>
              <w:top w:w="70" w:type="dxa"/>
              <w:start w:w="70" w:type="dxa"/>
              <w:bottom w:w="70" w:type="dxa"/>
              <w:end w:w="70" w:type="dxa"/>
            </w:tcMar>
            <w:vAlign w:val="center"/>
          </w:tcPr>
          <w:p>
            <w:pPr>
              <w:spacing w:after="0"/>
              <w:jc w:val="left"/>
            </w:pPr>
            <w:r>
              <w:rPr>
                <w:rFonts w:ascii="Arial" w:hAnsi="Arial"/>
                <w:b/>
                <w:color w:val="232D37"/>
                <w:sz w:val="17"/>
              </w:rPr>
              <w:t>Pregunta de inclusión</w:t>
            </w:r>
          </w:p>
        </w:tc>
      </w:tr>
      <w:tr>
        <w:tc>
          <w:tcPr>
            <w:tcW w:type="dxa" w:w="2324"/>
            <w:tcMar>
              <w:top w:w="65" w:type="dxa"/>
              <w:start w:w="70" w:type="dxa"/>
              <w:bottom w:w="65" w:type="dxa"/>
              <w:end w:w="70" w:type="dxa"/>
            </w:tcMar>
            <w:vAlign w:val="top"/>
          </w:tcPr>
          <w:p>
            <w:pPr>
              <w:spacing w:after="0"/>
            </w:pPr>
            <w:r>
              <w:rPr>
                <w:rFonts w:ascii="Arial" w:hAnsi="Arial"/>
                <w:sz w:val="17"/>
              </w:rPr>
              <w:t>Alojamiento y vivienda</w:t>
            </w:r>
          </w:p>
        </w:tc>
        <w:tc>
          <w:tcPr>
            <w:tcW w:type="dxa" w:w="7313"/>
            <w:tcMar>
              <w:top w:w="65" w:type="dxa"/>
              <w:start w:w="70" w:type="dxa"/>
              <w:bottom w:w="65" w:type="dxa"/>
              <w:end w:w="70" w:type="dxa"/>
            </w:tcMar>
            <w:vAlign w:val="top"/>
          </w:tcPr>
          <w:p>
            <w:pPr>
              <w:spacing w:after="0"/>
            </w:pPr>
            <w:r>
              <w:rPr>
                <w:rFonts w:ascii="Arial" w:hAnsi="Arial"/>
                <w:sz w:val="17"/>
              </w:rPr>
              <w:t>¿La persona puede entrar, desplazarse, usar baño, dormir y evacuar con seguridad? ¿La reconstrucción corrige barreras previas?</w:t>
            </w:r>
          </w:p>
        </w:tc>
      </w:tr>
      <w:tr>
        <w:tc>
          <w:tcPr>
            <w:tcW w:type="dxa" w:w="2324"/>
            <w:tcMar>
              <w:top w:w="65" w:type="dxa"/>
              <w:start w:w="70" w:type="dxa"/>
              <w:bottom w:w="65" w:type="dxa"/>
              <w:end w:w="70" w:type="dxa"/>
            </w:tcMar>
            <w:vAlign w:val="top"/>
            <w:shd w:fill="FBFCFD"/>
          </w:tcPr>
          <w:p>
            <w:pPr>
              <w:spacing w:after="0"/>
            </w:pPr>
            <w:r>
              <w:rPr>
                <w:rFonts w:ascii="Arial" w:hAnsi="Arial"/>
                <w:sz w:val="17"/>
              </w:rPr>
              <w:t>Agua, saneamiento e higiene</w:t>
            </w:r>
          </w:p>
        </w:tc>
        <w:tc>
          <w:tcPr>
            <w:tcW w:type="dxa" w:w="7313"/>
            <w:tcMar>
              <w:top w:w="65" w:type="dxa"/>
              <w:start w:w="70" w:type="dxa"/>
              <w:bottom w:w="65" w:type="dxa"/>
              <w:end w:w="70" w:type="dxa"/>
            </w:tcMar>
            <w:vAlign w:val="top"/>
            <w:shd w:fill="FBFCFD"/>
          </w:tcPr>
          <w:p>
            <w:pPr>
              <w:spacing w:after="0"/>
            </w:pPr>
            <w:r>
              <w:rPr>
                <w:rFonts w:ascii="Arial" w:hAnsi="Arial"/>
                <w:sz w:val="17"/>
              </w:rPr>
              <w:t>¿Puede llegar y utilizar puntos de agua, duchas y sanitarios sin riesgo? ¿Hay espacio, apoyos y privacidad para quien requiere asistencia?</w:t>
            </w:r>
          </w:p>
        </w:tc>
      </w:tr>
      <w:tr>
        <w:tc>
          <w:tcPr>
            <w:tcW w:type="dxa" w:w="2324"/>
            <w:tcMar>
              <w:top w:w="65" w:type="dxa"/>
              <w:start w:w="70" w:type="dxa"/>
              <w:bottom w:w="65" w:type="dxa"/>
              <w:end w:w="70" w:type="dxa"/>
            </w:tcMar>
            <w:vAlign w:val="top"/>
          </w:tcPr>
          <w:p>
            <w:pPr>
              <w:spacing w:after="0"/>
            </w:pPr>
            <w:r>
              <w:rPr>
                <w:rFonts w:ascii="Arial" w:hAnsi="Arial"/>
                <w:sz w:val="17"/>
              </w:rPr>
              <w:t>Salud y rehabilitación</w:t>
            </w:r>
          </w:p>
        </w:tc>
        <w:tc>
          <w:tcPr>
            <w:tcW w:type="dxa" w:w="7313"/>
            <w:tcMar>
              <w:top w:w="65" w:type="dxa"/>
              <w:start w:w="70" w:type="dxa"/>
              <w:bottom w:w="65" w:type="dxa"/>
              <w:end w:w="70" w:type="dxa"/>
            </w:tcMar>
            <w:vAlign w:val="top"/>
          </w:tcPr>
          <w:p>
            <w:pPr>
              <w:spacing w:after="0"/>
            </w:pPr>
            <w:r>
              <w:rPr>
                <w:rFonts w:ascii="Arial" w:hAnsi="Arial"/>
                <w:sz w:val="17"/>
              </w:rPr>
              <w:t>¿Se interrumpieron medicamentos, tratamientos, rehabilitación, salud mental o mantenimiento de ayudas técnicas? ¿Puede comunicarse con el personal?</w:t>
            </w:r>
          </w:p>
        </w:tc>
      </w:tr>
      <w:tr>
        <w:tc>
          <w:tcPr>
            <w:tcW w:type="dxa" w:w="2324"/>
            <w:tcMar>
              <w:top w:w="65" w:type="dxa"/>
              <w:start w:w="70" w:type="dxa"/>
              <w:bottom w:w="65" w:type="dxa"/>
              <w:end w:w="70" w:type="dxa"/>
            </w:tcMar>
            <w:vAlign w:val="top"/>
            <w:shd w:fill="FBFCFD"/>
          </w:tcPr>
          <w:p>
            <w:pPr>
              <w:spacing w:after="0"/>
            </w:pPr>
            <w:r>
              <w:rPr>
                <w:rFonts w:ascii="Arial" w:hAnsi="Arial"/>
                <w:sz w:val="17"/>
              </w:rPr>
              <w:t>Educación y primera infancia</w:t>
            </w:r>
          </w:p>
        </w:tc>
        <w:tc>
          <w:tcPr>
            <w:tcW w:type="dxa" w:w="7313"/>
            <w:tcMar>
              <w:top w:w="65" w:type="dxa"/>
              <w:start w:w="70" w:type="dxa"/>
              <w:bottom w:w="65" w:type="dxa"/>
              <w:end w:w="70" w:type="dxa"/>
            </w:tcMar>
            <w:vAlign w:val="top"/>
            <w:shd w:fill="FBFCFD"/>
          </w:tcPr>
          <w:p>
            <w:pPr>
              <w:spacing w:after="0"/>
            </w:pPr>
            <w:r>
              <w:rPr>
                <w:rFonts w:ascii="Arial" w:hAnsi="Arial"/>
                <w:sz w:val="17"/>
              </w:rPr>
              <w:t>¿Los espacios temporales y definitivos son accesibles? ¿Se mantienen apoyos, ajustes razonables, transporte y continuidad educativa?</w:t>
            </w:r>
          </w:p>
        </w:tc>
      </w:tr>
      <w:tr>
        <w:tc>
          <w:tcPr>
            <w:tcW w:type="dxa" w:w="2324"/>
            <w:tcMar>
              <w:top w:w="65" w:type="dxa"/>
              <w:start w:w="70" w:type="dxa"/>
              <w:bottom w:w="65" w:type="dxa"/>
              <w:end w:w="70" w:type="dxa"/>
            </w:tcMar>
            <w:vAlign w:val="top"/>
          </w:tcPr>
          <w:p>
            <w:pPr>
              <w:spacing w:after="0"/>
            </w:pPr>
            <w:r>
              <w:rPr>
                <w:rFonts w:ascii="Arial" w:hAnsi="Arial"/>
                <w:sz w:val="17"/>
              </w:rPr>
              <w:t>Protección</w:t>
            </w:r>
          </w:p>
        </w:tc>
        <w:tc>
          <w:tcPr>
            <w:tcW w:type="dxa" w:w="7313"/>
            <w:tcMar>
              <w:top w:w="65" w:type="dxa"/>
              <w:start w:w="70" w:type="dxa"/>
              <w:bottom w:w="65" w:type="dxa"/>
              <w:end w:w="70" w:type="dxa"/>
            </w:tcMar>
            <w:vAlign w:val="top"/>
          </w:tcPr>
          <w:p>
            <w:pPr>
              <w:spacing w:after="0"/>
            </w:pPr>
            <w:r>
              <w:rPr>
                <w:rFonts w:ascii="Arial" w:hAnsi="Arial"/>
                <w:sz w:val="17"/>
              </w:rPr>
              <w:t>¿Aumentaron riesgos de violencia, abuso, explotación, negligencia, separación familiar o institucionalización? ¿Las rutas de denuncia son accesibles y confidenciales?</w:t>
            </w:r>
          </w:p>
        </w:tc>
      </w:tr>
      <w:tr>
        <w:tc>
          <w:tcPr>
            <w:tcW w:type="dxa" w:w="2324"/>
            <w:tcMar>
              <w:top w:w="65" w:type="dxa"/>
              <w:start w:w="70" w:type="dxa"/>
              <w:bottom w:w="65" w:type="dxa"/>
              <w:end w:w="70" w:type="dxa"/>
            </w:tcMar>
            <w:vAlign w:val="top"/>
            <w:shd w:fill="FBFCFD"/>
          </w:tcPr>
          <w:p>
            <w:pPr>
              <w:spacing w:after="0"/>
            </w:pPr>
            <w:r>
              <w:rPr>
                <w:rFonts w:ascii="Arial" w:hAnsi="Arial"/>
                <w:sz w:val="17"/>
              </w:rPr>
              <w:t>Protección social y cuidado</w:t>
            </w:r>
          </w:p>
        </w:tc>
        <w:tc>
          <w:tcPr>
            <w:tcW w:type="dxa" w:w="7313"/>
            <w:tcMar>
              <w:top w:w="65" w:type="dxa"/>
              <w:start w:w="70" w:type="dxa"/>
              <w:bottom w:w="65" w:type="dxa"/>
              <w:end w:w="70" w:type="dxa"/>
            </w:tcMar>
            <w:vAlign w:val="top"/>
            <w:shd w:fill="FBFCFD"/>
          </w:tcPr>
          <w:p>
            <w:pPr>
              <w:spacing w:after="0"/>
            </w:pPr>
            <w:r>
              <w:rPr>
                <w:rFonts w:ascii="Arial" w:hAnsi="Arial"/>
                <w:sz w:val="17"/>
              </w:rPr>
              <w:t>¿La persona puede acceder a transferencias, subsidios, registros y ventanillas? ¿Se perdió la red de cuidado? ¿Aumentó la carga sobre mujeres, niñas o adolescentes?</w:t>
            </w:r>
          </w:p>
        </w:tc>
      </w:tr>
      <w:tr>
        <w:tc>
          <w:tcPr>
            <w:tcW w:type="dxa" w:w="2324"/>
            <w:tcMar>
              <w:top w:w="65" w:type="dxa"/>
              <w:start w:w="70" w:type="dxa"/>
              <w:bottom w:w="65" w:type="dxa"/>
              <w:end w:w="70" w:type="dxa"/>
            </w:tcMar>
            <w:vAlign w:val="top"/>
          </w:tcPr>
          <w:p>
            <w:pPr>
              <w:spacing w:after="0"/>
            </w:pPr>
            <w:r>
              <w:rPr>
                <w:rFonts w:ascii="Arial" w:hAnsi="Arial"/>
                <w:sz w:val="17"/>
              </w:rPr>
              <w:t>Medios de vida</w:t>
            </w:r>
          </w:p>
        </w:tc>
        <w:tc>
          <w:tcPr>
            <w:tcW w:type="dxa" w:w="7313"/>
            <w:tcMar>
              <w:top w:w="65" w:type="dxa"/>
              <w:start w:w="70" w:type="dxa"/>
              <w:bottom w:w="65" w:type="dxa"/>
              <w:end w:w="70" w:type="dxa"/>
            </w:tcMar>
            <w:vAlign w:val="top"/>
          </w:tcPr>
          <w:p>
            <w:pPr>
              <w:spacing w:after="0"/>
            </w:pPr>
            <w:r>
              <w:rPr>
                <w:rFonts w:ascii="Arial" w:hAnsi="Arial"/>
                <w:sz w:val="17"/>
              </w:rPr>
              <w:t>¿La pérdida de activos o movilidad afecta ingresos de manera diferenciada? ¿Los programas de recuperación económica son accesibles?</w:t>
            </w:r>
          </w:p>
        </w:tc>
      </w:tr>
      <w:tr>
        <w:tc>
          <w:tcPr>
            <w:tcW w:type="dxa" w:w="2324"/>
            <w:tcMar>
              <w:top w:w="65" w:type="dxa"/>
              <w:start w:w="70" w:type="dxa"/>
              <w:bottom w:w="65" w:type="dxa"/>
              <w:end w:w="70" w:type="dxa"/>
            </w:tcMar>
            <w:vAlign w:val="top"/>
            <w:shd w:fill="FBFCFD"/>
          </w:tcPr>
          <w:p>
            <w:pPr>
              <w:spacing w:after="0"/>
            </w:pPr>
            <w:r>
              <w:rPr>
                <w:rFonts w:ascii="Arial" w:hAnsi="Arial"/>
                <w:sz w:val="17"/>
              </w:rPr>
              <w:t>Transporte y movilidad</w:t>
            </w:r>
          </w:p>
        </w:tc>
        <w:tc>
          <w:tcPr>
            <w:tcW w:type="dxa" w:w="7313"/>
            <w:tcMar>
              <w:top w:w="65" w:type="dxa"/>
              <w:start w:w="70" w:type="dxa"/>
              <w:bottom w:w="65" w:type="dxa"/>
              <w:end w:w="70" w:type="dxa"/>
            </w:tcMar>
            <w:vAlign w:val="top"/>
            <w:shd w:fill="FBFCFD"/>
          </w:tcPr>
          <w:p>
            <w:pPr>
              <w:spacing w:after="0"/>
            </w:pPr>
            <w:r>
              <w:rPr>
                <w:rFonts w:ascii="Arial" w:hAnsi="Arial"/>
                <w:sz w:val="17"/>
              </w:rPr>
              <w:t>¿Las rutas, vehículos, puentes, senderos y puntos de embarque permiten desplazamiento seguro? ¿Se requieren apoyos alternativos?</w:t>
            </w:r>
          </w:p>
        </w:tc>
      </w:tr>
      <w:tr>
        <w:tc>
          <w:tcPr>
            <w:tcW w:type="dxa" w:w="2324"/>
            <w:tcMar>
              <w:top w:w="65" w:type="dxa"/>
              <w:start w:w="70" w:type="dxa"/>
              <w:bottom w:w="65" w:type="dxa"/>
              <w:end w:w="70" w:type="dxa"/>
            </w:tcMar>
            <w:vAlign w:val="top"/>
          </w:tcPr>
          <w:p>
            <w:pPr>
              <w:spacing w:after="0"/>
            </w:pPr>
            <w:r>
              <w:rPr>
                <w:rFonts w:ascii="Arial" w:hAnsi="Arial"/>
                <w:sz w:val="17"/>
              </w:rPr>
              <w:t>Información y telecomunicaciones</w:t>
            </w:r>
          </w:p>
        </w:tc>
        <w:tc>
          <w:tcPr>
            <w:tcW w:type="dxa" w:w="7313"/>
            <w:tcMar>
              <w:top w:w="65" w:type="dxa"/>
              <w:start w:w="70" w:type="dxa"/>
              <w:bottom w:w="65" w:type="dxa"/>
              <w:end w:w="70" w:type="dxa"/>
            </w:tcMar>
            <w:vAlign w:val="top"/>
          </w:tcPr>
          <w:p>
            <w:pPr>
              <w:spacing w:after="0"/>
            </w:pPr>
            <w:r>
              <w:rPr>
                <w:rFonts w:ascii="Arial" w:hAnsi="Arial"/>
                <w:sz w:val="17"/>
              </w:rPr>
              <w:t>¿Las alertas y la información sobre ayudas se entregan por varios canales y formatos accesibles? ¿Hay conectividad y dispositivos disponibles?</w:t>
            </w:r>
          </w:p>
        </w:tc>
      </w:tr>
    </w:tbl>
    <w:p>
      <w:pPr>
        <w:spacing w:after="40"/>
      </w:pPr>
    </w:p>
    <w:p>
      <w:pPr>
        <w:pStyle w:val="Heading1"/>
      </w:pPr>
      <w:r>
        <w:t>8. Ficha mínima de inclusión para anexar a una evaluación de daños y necesidades</w:t>
      </w:r>
    </w:p>
    <w:p>
      <w:r>
        <w:t>Esta ficha no sustituye los instrumentos oficiales del EDAN, el Registro Único de Damnificados ni los módulos estandarizados de medición de funcionamiento. Sirve para complementar una evaluación con información operativa sobre barreras, apoyos y recuperación.</w:t>
      </w:r>
    </w:p>
    <w:tbl>
      <w:tblPr>
        <w:tblW w:type="auto" w:w="0"/>
        <w:jc w:val="center"/>
        <w:tblLayout w:type="fixed"/>
        <w:tblLook w:firstColumn="1" w:firstRow="1" w:lastColumn="0" w:lastRow="0" w:noHBand="0" w:noVBand="1" w:val="04A0"/>
        <w:tblBorders>
          <w:top w:val="single" w:sz="5" w:space="0" w:color="D9E2E7"/>
          <w:left w:val="single" w:sz="5" w:space="0" w:color="D9E2E7"/>
          <w:bottom w:val="single" w:sz="5" w:space="0" w:color="D9E2E7"/>
          <w:right w:val="single" w:sz="5" w:space="0" w:color="D9E2E7"/>
          <w:insideH w:val="single" w:sz="5" w:space="0" w:color="D9E2E7"/>
          <w:insideV w:val="single" w:sz="5" w:space="0" w:color="D9E2E7"/>
        </w:tblBorders>
      </w:tblPr>
      <w:tblGrid>
        <w:gridCol w:w="5156"/>
        <w:gridCol w:w="5156"/>
      </w:tblGrid>
      <w:tr>
        <w:trPr>
          <w:tblHeader w:val="true"/>
        </w:trPr>
        <w:tc>
          <w:tcPr>
            <w:tcW w:type="dxa" w:w="2891"/>
            <w:shd w:fill="D9F1FA"/>
            <w:tcMar>
              <w:top w:w="70" w:type="dxa"/>
              <w:start w:w="70" w:type="dxa"/>
              <w:bottom w:w="70" w:type="dxa"/>
              <w:end w:w="70" w:type="dxa"/>
            </w:tcMar>
            <w:vAlign w:val="center"/>
          </w:tcPr>
          <w:p>
            <w:pPr>
              <w:spacing w:after="0"/>
              <w:jc w:val="left"/>
            </w:pPr>
            <w:r>
              <w:rPr>
                <w:rFonts w:ascii="Arial" w:hAnsi="Arial"/>
                <w:b/>
                <w:color w:val="232D37"/>
                <w:sz w:val="17"/>
              </w:rPr>
              <w:t>Campo</w:t>
            </w:r>
          </w:p>
        </w:tc>
        <w:tc>
          <w:tcPr>
            <w:tcW w:type="dxa" w:w="6746"/>
            <w:shd w:fill="D9F1FA"/>
            <w:tcMar>
              <w:top w:w="70" w:type="dxa"/>
              <w:start w:w="70" w:type="dxa"/>
              <w:bottom w:w="70" w:type="dxa"/>
              <w:end w:w="70" w:type="dxa"/>
            </w:tcMar>
            <w:vAlign w:val="center"/>
          </w:tcPr>
          <w:p>
            <w:pPr>
              <w:spacing w:after="0"/>
              <w:jc w:val="left"/>
            </w:pPr>
            <w:r>
              <w:rPr>
                <w:rFonts w:ascii="Arial" w:hAnsi="Arial"/>
                <w:b/>
                <w:color w:val="232D37"/>
                <w:sz w:val="17"/>
              </w:rPr>
              <w:t>Contenido mínimo</w:t>
            </w:r>
          </w:p>
        </w:tc>
      </w:tr>
      <w:tr>
        <w:tc>
          <w:tcPr>
            <w:tcW w:type="dxa" w:w="2891"/>
            <w:tcMar>
              <w:top w:w="65" w:type="dxa"/>
              <w:start w:w="70" w:type="dxa"/>
              <w:bottom w:w="65" w:type="dxa"/>
              <w:end w:w="70" w:type="dxa"/>
            </w:tcMar>
            <w:vAlign w:val="top"/>
          </w:tcPr>
          <w:p>
            <w:pPr>
              <w:spacing w:after="0"/>
            </w:pPr>
            <w:r>
              <w:rPr>
                <w:rFonts w:ascii="Arial" w:hAnsi="Arial"/>
                <w:sz w:val="17"/>
              </w:rPr>
              <w:t>1. Identificación y localización</w:t>
            </w:r>
          </w:p>
        </w:tc>
        <w:tc>
          <w:tcPr>
            <w:tcW w:type="dxa" w:w="6746"/>
            <w:tcMar>
              <w:top w:w="65" w:type="dxa"/>
              <w:start w:w="70" w:type="dxa"/>
              <w:bottom w:w="65" w:type="dxa"/>
              <w:end w:w="70" w:type="dxa"/>
            </w:tcMar>
            <w:vAlign w:val="top"/>
          </w:tcPr>
          <w:p>
            <w:pPr>
              <w:spacing w:after="0"/>
            </w:pPr>
            <w:r>
              <w:rPr>
                <w:rFonts w:ascii="Arial" w:hAnsi="Arial"/>
                <w:sz w:val="17"/>
              </w:rPr>
              <w:t>Código del hogar/persona; vereda/barrio; edad; sexo; ubicación actual; contacto seguro.</w:t>
            </w:r>
          </w:p>
        </w:tc>
      </w:tr>
      <w:tr>
        <w:tc>
          <w:tcPr>
            <w:tcW w:type="dxa" w:w="2891"/>
            <w:tcMar>
              <w:top w:w="65" w:type="dxa"/>
              <w:start w:w="70" w:type="dxa"/>
              <w:bottom w:w="65" w:type="dxa"/>
              <w:end w:w="70" w:type="dxa"/>
            </w:tcMar>
            <w:vAlign w:val="top"/>
            <w:shd w:fill="FBFCFD"/>
          </w:tcPr>
          <w:p>
            <w:pPr>
              <w:spacing w:after="0"/>
            </w:pPr>
            <w:r>
              <w:rPr>
                <w:rFonts w:ascii="Arial" w:hAnsi="Arial"/>
                <w:sz w:val="17"/>
              </w:rPr>
              <w:t>2. Funcionamiento</w:t>
            </w:r>
          </w:p>
        </w:tc>
        <w:tc>
          <w:tcPr>
            <w:tcW w:type="dxa" w:w="6746"/>
            <w:tcMar>
              <w:top w:w="65" w:type="dxa"/>
              <w:start w:w="70" w:type="dxa"/>
              <w:bottom w:w="65" w:type="dxa"/>
              <w:end w:w="70" w:type="dxa"/>
            </w:tcMar>
            <w:vAlign w:val="top"/>
            <w:shd w:fill="FBFCFD"/>
          </w:tcPr>
          <w:p>
            <w:pPr>
              <w:spacing w:after="0"/>
            </w:pPr>
            <w:r>
              <w:rPr>
                <w:rFonts w:ascii="Arial" w:hAnsi="Arial"/>
                <w:sz w:val="17"/>
              </w:rPr>
              <w:t>Aplicar el módulo oficial correspondiente: WG-SS para adultos o CFM/CFM-HV para niñez, según el diseño de la evaluación.</w:t>
            </w:r>
          </w:p>
        </w:tc>
      </w:tr>
      <w:tr>
        <w:tc>
          <w:tcPr>
            <w:tcW w:type="dxa" w:w="2891"/>
            <w:tcMar>
              <w:top w:w="65" w:type="dxa"/>
              <w:start w:w="70" w:type="dxa"/>
              <w:bottom w:w="65" w:type="dxa"/>
              <w:end w:w="70" w:type="dxa"/>
            </w:tcMar>
            <w:vAlign w:val="top"/>
          </w:tcPr>
          <w:p>
            <w:pPr>
              <w:spacing w:after="0"/>
            </w:pPr>
            <w:r>
              <w:rPr>
                <w:rFonts w:ascii="Arial" w:hAnsi="Arial"/>
                <w:sz w:val="17"/>
              </w:rPr>
              <w:t>3. Forma de comunicación</w:t>
            </w:r>
          </w:p>
        </w:tc>
        <w:tc>
          <w:tcPr>
            <w:tcW w:type="dxa" w:w="6746"/>
            <w:tcMar>
              <w:top w:w="65" w:type="dxa"/>
              <w:start w:w="70" w:type="dxa"/>
              <w:bottom w:w="65" w:type="dxa"/>
              <w:end w:w="70" w:type="dxa"/>
            </w:tcMar>
            <w:vAlign w:val="top"/>
          </w:tcPr>
          <w:p>
            <w:pPr>
              <w:spacing w:after="0"/>
            </w:pPr>
            <w:r>
              <w:rPr>
                <w:rFonts w:ascii="Arial" w:hAnsi="Arial"/>
                <w:sz w:val="17"/>
              </w:rPr>
              <w:t>LSC; oral; texto; audio; lectura fácil; pictogramas; comunicación aumentativa/alternativa; otra.</w:t>
            </w:r>
          </w:p>
        </w:tc>
      </w:tr>
      <w:tr>
        <w:tc>
          <w:tcPr>
            <w:tcW w:type="dxa" w:w="2891"/>
            <w:tcMar>
              <w:top w:w="65" w:type="dxa"/>
              <w:start w:w="70" w:type="dxa"/>
              <w:bottom w:w="65" w:type="dxa"/>
              <w:end w:w="70" w:type="dxa"/>
            </w:tcMar>
            <w:vAlign w:val="top"/>
            <w:shd w:fill="FBFCFD"/>
          </w:tcPr>
          <w:p>
            <w:pPr>
              <w:spacing w:after="0"/>
            </w:pPr>
            <w:r>
              <w:rPr>
                <w:rFonts w:ascii="Arial" w:hAnsi="Arial"/>
                <w:sz w:val="17"/>
              </w:rPr>
              <w:t>4. Apoyo para decidir/comunicarse</w:t>
            </w:r>
          </w:p>
        </w:tc>
        <w:tc>
          <w:tcPr>
            <w:tcW w:type="dxa" w:w="6746"/>
            <w:tcMar>
              <w:top w:w="65" w:type="dxa"/>
              <w:start w:w="70" w:type="dxa"/>
              <w:bottom w:w="65" w:type="dxa"/>
              <w:end w:w="70" w:type="dxa"/>
            </w:tcMar>
            <w:vAlign w:val="top"/>
            <w:shd w:fill="FBFCFD"/>
          </w:tcPr>
          <w:p>
            <w:pPr>
              <w:spacing w:after="0"/>
            </w:pPr>
            <w:r>
              <w:rPr>
                <w:rFonts w:ascii="Arial" w:hAnsi="Arial"/>
                <w:sz w:val="17"/>
              </w:rPr>
              <w:t>¿Requiere apoyo? ¿Quién o qué apoyo prefiere?</w:t>
            </w:r>
          </w:p>
        </w:tc>
      </w:tr>
      <w:tr>
        <w:tc>
          <w:tcPr>
            <w:tcW w:type="dxa" w:w="2891"/>
            <w:tcMar>
              <w:top w:w="65" w:type="dxa"/>
              <w:start w:w="70" w:type="dxa"/>
              <w:bottom w:w="65" w:type="dxa"/>
              <w:end w:w="70" w:type="dxa"/>
            </w:tcMar>
            <w:vAlign w:val="top"/>
          </w:tcPr>
          <w:p>
            <w:pPr>
              <w:spacing w:after="0"/>
            </w:pPr>
            <w:r>
              <w:rPr>
                <w:rFonts w:ascii="Arial" w:hAnsi="Arial"/>
                <w:sz w:val="17"/>
              </w:rPr>
              <w:t>5. Tecnología de asistencia</w:t>
            </w:r>
          </w:p>
        </w:tc>
        <w:tc>
          <w:tcPr>
            <w:tcW w:type="dxa" w:w="6746"/>
            <w:tcMar>
              <w:top w:w="65" w:type="dxa"/>
              <w:start w:w="70" w:type="dxa"/>
              <w:bottom w:w="65" w:type="dxa"/>
              <w:end w:w="70" w:type="dxa"/>
            </w:tcMar>
            <w:vAlign w:val="top"/>
          </w:tcPr>
          <w:p>
            <w:pPr>
              <w:spacing w:after="0"/>
            </w:pPr>
            <w:r>
              <w:rPr>
                <w:rFonts w:ascii="Arial" w:hAnsi="Arial"/>
                <w:sz w:val="17"/>
              </w:rPr>
              <w:t>Tipo; disponible / dañada / perdida / sin carga o repuesto / requiere mantenimiento.</w:t>
            </w:r>
          </w:p>
        </w:tc>
      </w:tr>
      <w:tr>
        <w:tc>
          <w:tcPr>
            <w:tcW w:type="dxa" w:w="2891"/>
            <w:tcMar>
              <w:top w:w="65" w:type="dxa"/>
              <w:start w:w="70" w:type="dxa"/>
              <w:bottom w:w="65" w:type="dxa"/>
              <w:end w:w="70" w:type="dxa"/>
            </w:tcMar>
            <w:vAlign w:val="top"/>
            <w:shd w:fill="FBFCFD"/>
          </w:tcPr>
          <w:p>
            <w:pPr>
              <w:spacing w:after="0"/>
            </w:pPr>
            <w:r>
              <w:rPr>
                <w:rFonts w:ascii="Arial" w:hAnsi="Arial"/>
                <w:sz w:val="17"/>
              </w:rPr>
              <w:t>6. Movilidad y accesibilidad</w:t>
            </w:r>
          </w:p>
        </w:tc>
        <w:tc>
          <w:tcPr>
            <w:tcW w:type="dxa" w:w="6746"/>
            <w:tcMar>
              <w:top w:w="65" w:type="dxa"/>
              <w:start w:w="70" w:type="dxa"/>
              <w:bottom w:w="65" w:type="dxa"/>
              <w:end w:w="70" w:type="dxa"/>
            </w:tcMar>
            <w:vAlign w:val="top"/>
            <w:shd w:fill="FBFCFD"/>
          </w:tcPr>
          <w:p>
            <w:pPr>
              <w:spacing w:after="0"/>
            </w:pPr>
            <w:r>
              <w:rPr>
                <w:rFonts w:ascii="Arial" w:hAnsi="Arial"/>
                <w:sz w:val="17"/>
              </w:rPr>
              <w:t>Barreras actuales para salir de vivienda/albergue, transportarse o entrar a servicios.</w:t>
            </w:r>
          </w:p>
        </w:tc>
      </w:tr>
      <w:tr>
        <w:tc>
          <w:tcPr>
            <w:tcW w:type="dxa" w:w="2891"/>
            <w:tcMar>
              <w:top w:w="65" w:type="dxa"/>
              <w:start w:w="70" w:type="dxa"/>
              <w:bottom w:w="65" w:type="dxa"/>
              <w:end w:w="70" w:type="dxa"/>
            </w:tcMar>
            <w:vAlign w:val="top"/>
          </w:tcPr>
          <w:p>
            <w:pPr>
              <w:spacing w:after="0"/>
            </w:pPr>
            <w:r>
              <w:rPr>
                <w:rFonts w:ascii="Arial" w:hAnsi="Arial"/>
                <w:sz w:val="17"/>
              </w:rPr>
              <w:t>7. Servicios interrumpidos</w:t>
            </w:r>
          </w:p>
        </w:tc>
        <w:tc>
          <w:tcPr>
            <w:tcW w:type="dxa" w:w="6746"/>
            <w:tcMar>
              <w:top w:w="65" w:type="dxa"/>
              <w:start w:w="70" w:type="dxa"/>
              <w:bottom w:w="65" w:type="dxa"/>
              <w:end w:w="70" w:type="dxa"/>
            </w:tcMar>
            <w:vAlign w:val="top"/>
          </w:tcPr>
          <w:p>
            <w:pPr>
              <w:spacing w:after="0"/>
            </w:pPr>
            <w:r>
              <w:rPr>
                <w:rFonts w:ascii="Arial" w:hAnsi="Arial"/>
                <w:sz w:val="17"/>
              </w:rPr>
              <w:t>Salud; rehabilitación; educación; protección; cuidado; transferencias; agua y saneamiento; otros.</w:t>
            </w:r>
          </w:p>
        </w:tc>
      </w:tr>
      <w:tr>
        <w:tc>
          <w:tcPr>
            <w:tcW w:type="dxa" w:w="2891"/>
            <w:tcMar>
              <w:top w:w="65" w:type="dxa"/>
              <w:start w:w="70" w:type="dxa"/>
              <w:bottom w:w="65" w:type="dxa"/>
              <w:end w:w="70" w:type="dxa"/>
            </w:tcMar>
            <w:vAlign w:val="top"/>
            <w:shd w:fill="FBFCFD"/>
          </w:tcPr>
          <w:p>
            <w:pPr>
              <w:spacing w:after="0"/>
            </w:pPr>
            <w:r>
              <w:rPr>
                <w:rFonts w:ascii="Arial" w:hAnsi="Arial"/>
                <w:sz w:val="17"/>
              </w:rPr>
              <w:t>8. Red de apoyo y cuidado</w:t>
            </w:r>
          </w:p>
        </w:tc>
        <w:tc>
          <w:tcPr>
            <w:tcW w:type="dxa" w:w="6746"/>
            <w:tcMar>
              <w:top w:w="65" w:type="dxa"/>
              <w:start w:w="70" w:type="dxa"/>
              <w:bottom w:w="65" w:type="dxa"/>
              <w:end w:w="70" w:type="dxa"/>
            </w:tcMar>
            <w:vAlign w:val="top"/>
            <w:shd w:fill="FBFCFD"/>
          </w:tcPr>
          <w:p>
            <w:pPr>
              <w:spacing w:after="0"/>
            </w:pPr>
            <w:r>
              <w:rPr>
                <w:rFonts w:ascii="Arial" w:hAnsi="Arial"/>
                <w:sz w:val="17"/>
              </w:rPr>
              <w:t>¿Se mantiene? ¿Se separó? ¿Aumentaron horas o intensidad de cuidado? ¿Hay cuidador/a en riesgo?</w:t>
            </w:r>
          </w:p>
        </w:tc>
      </w:tr>
      <w:tr>
        <w:tc>
          <w:tcPr>
            <w:tcW w:type="dxa" w:w="2891"/>
            <w:tcMar>
              <w:top w:w="65" w:type="dxa"/>
              <w:start w:w="70" w:type="dxa"/>
              <w:bottom w:w="65" w:type="dxa"/>
              <w:end w:w="70" w:type="dxa"/>
            </w:tcMar>
            <w:vAlign w:val="top"/>
          </w:tcPr>
          <w:p>
            <w:pPr>
              <w:spacing w:after="0"/>
            </w:pPr>
            <w:r>
              <w:rPr>
                <w:rFonts w:ascii="Arial" w:hAnsi="Arial"/>
                <w:sz w:val="17"/>
              </w:rPr>
              <w:t>9. Protección</w:t>
            </w:r>
          </w:p>
        </w:tc>
        <w:tc>
          <w:tcPr>
            <w:tcW w:type="dxa" w:w="6746"/>
            <w:tcMar>
              <w:top w:w="65" w:type="dxa"/>
              <w:start w:w="70" w:type="dxa"/>
              <w:bottom w:w="65" w:type="dxa"/>
              <w:end w:w="70" w:type="dxa"/>
            </w:tcMar>
            <w:vAlign w:val="top"/>
          </w:tcPr>
          <w:p>
            <w:pPr>
              <w:spacing w:after="0"/>
            </w:pPr>
            <w:r>
              <w:rPr>
                <w:rFonts w:ascii="Arial" w:hAnsi="Arial"/>
                <w:sz w:val="17"/>
              </w:rPr>
              <w:t>Riesgos urgentes; seguridad; violencia; abandono; separación; necesidad de remisión inmediata.</w:t>
            </w:r>
          </w:p>
        </w:tc>
      </w:tr>
      <w:tr>
        <w:tc>
          <w:tcPr>
            <w:tcW w:type="dxa" w:w="2891"/>
            <w:tcMar>
              <w:top w:w="65" w:type="dxa"/>
              <w:start w:w="70" w:type="dxa"/>
              <w:bottom w:w="65" w:type="dxa"/>
              <w:end w:w="70" w:type="dxa"/>
            </w:tcMar>
            <w:vAlign w:val="top"/>
            <w:shd w:fill="FBFCFD"/>
          </w:tcPr>
          <w:p>
            <w:pPr>
              <w:spacing w:after="0"/>
            </w:pPr>
            <w:r>
              <w:rPr>
                <w:rFonts w:ascii="Arial" w:hAnsi="Arial"/>
                <w:sz w:val="17"/>
              </w:rPr>
              <w:t>10. Necesidad prioritaria</w:t>
            </w:r>
          </w:p>
        </w:tc>
        <w:tc>
          <w:tcPr>
            <w:tcW w:type="dxa" w:w="6746"/>
            <w:tcMar>
              <w:top w:w="65" w:type="dxa"/>
              <w:start w:w="70" w:type="dxa"/>
              <w:bottom w:w="65" w:type="dxa"/>
              <w:end w:w="70" w:type="dxa"/>
            </w:tcMar>
            <w:vAlign w:val="top"/>
            <w:shd w:fill="FBFCFD"/>
          </w:tcPr>
          <w:p>
            <w:pPr>
              <w:spacing w:after="0"/>
            </w:pPr>
            <w:r>
              <w:rPr>
                <w:rFonts w:ascii="Arial" w:hAnsi="Arial"/>
                <w:sz w:val="17"/>
              </w:rPr>
              <w:t>Qué apoyo o ajuste tendría mayor efecto inmediato sobre seguridad, autonomía y participación.</w:t>
            </w:r>
          </w:p>
        </w:tc>
      </w:tr>
      <w:tr>
        <w:tc>
          <w:tcPr>
            <w:tcW w:type="dxa" w:w="2891"/>
            <w:tcMar>
              <w:top w:w="65" w:type="dxa"/>
              <w:start w:w="70" w:type="dxa"/>
              <w:bottom w:w="65" w:type="dxa"/>
              <w:end w:w="70" w:type="dxa"/>
            </w:tcMar>
            <w:vAlign w:val="top"/>
          </w:tcPr>
          <w:p>
            <w:pPr>
              <w:spacing w:after="0"/>
            </w:pPr>
            <w:r>
              <w:rPr>
                <w:rFonts w:ascii="Arial" w:hAnsi="Arial"/>
                <w:sz w:val="17"/>
              </w:rPr>
              <w:t>11. Preferencia para recibir información</w:t>
            </w:r>
          </w:p>
        </w:tc>
        <w:tc>
          <w:tcPr>
            <w:tcW w:type="dxa" w:w="6746"/>
            <w:tcMar>
              <w:top w:w="65" w:type="dxa"/>
              <w:start w:w="70" w:type="dxa"/>
              <w:bottom w:w="65" w:type="dxa"/>
              <w:end w:w="70" w:type="dxa"/>
            </w:tcMar>
            <w:vAlign w:val="top"/>
          </w:tcPr>
          <w:p>
            <w:pPr>
              <w:spacing w:after="0"/>
            </w:pPr>
            <w:r>
              <w:rPr>
                <w:rFonts w:ascii="Arial" w:hAnsi="Arial"/>
                <w:sz w:val="17"/>
              </w:rPr>
              <w:t>Canal y formato accesible para actualizaciones y alertas.</w:t>
            </w:r>
          </w:p>
        </w:tc>
      </w:tr>
      <w:tr>
        <w:tc>
          <w:tcPr>
            <w:tcW w:type="dxa" w:w="2891"/>
            <w:tcMar>
              <w:top w:w="65" w:type="dxa"/>
              <w:start w:w="70" w:type="dxa"/>
              <w:bottom w:w="65" w:type="dxa"/>
              <w:end w:w="70" w:type="dxa"/>
            </w:tcMar>
            <w:vAlign w:val="top"/>
            <w:shd w:fill="FBFCFD"/>
          </w:tcPr>
          <w:p>
            <w:pPr>
              <w:spacing w:after="0"/>
            </w:pPr>
            <w:r>
              <w:rPr>
                <w:rFonts w:ascii="Arial" w:hAnsi="Arial"/>
                <w:sz w:val="17"/>
              </w:rPr>
              <w:t>12. Seguimiento</w:t>
            </w:r>
          </w:p>
        </w:tc>
        <w:tc>
          <w:tcPr>
            <w:tcW w:type="dxa" w:w="6746"/>
            <w:tcMar>
              <w:top w:w="65" w:type="dxa"/>
              <w:start w:w="70" w:type="dxa"/>
              <w:bottom w:w="65" w:type="dxa"/>
              <w:end w:w="70" w:type="dxa"/>
            </w:tcMar>
            <w:vAlign w:val="top"/>
            <w:shd w:fill="FBFCFD"/>
          </w:tcPr>
          <w:p>
            <w:pPr>
              <w:spacing w:after="0"/>
            </w:pPr>
            <w:r>
              <w:rPr>
                <w:rFonts w:ascii="Arial" w:hAnsi="Arial"/>
                <w:sz w:val="17"/>
              </w:rPr>
              <w:t>Responsable; remisión; fecha; estado de la necesidad; retroalimentación de la persona.</w:t>
            </w:r>
          </w:p>
        </w:tc>
      </w:tr>
    </w:tbl>
    <w:p>
      <w:pPr>
        <w:spacing w:after="40"/>
      </w:pPr>
    </w:p>
    <w:p>
      <w:pPr>
        <w:pStyle w:val="Heading1"/>
      </w:pPr>
      <w:r>
        <w:t>9. Priorización: cómo evitar que la urgencia invisibilice la inclusión</w:t>
      </w:r>
    </w:p>
    <w:p>
      <w:r>
        <w:t>No todas las necesidades requieren la misma respuesta ni el mismo plazo. La priorización debe combinar riesgo vital, pérdida de autonomía, interrupción de apoyos críticos, barreras de acceso y posibilidad de que la situación se deteriore.</w:t>
      </w:r>
    </w:p>
    <w:tbl>
      <w:tblPr>
        <w:tblW w:type="auto" w:w="0"/>
        <w:jc w:val="center"/>
        <w:tblLayout w:type="fixed"/>
        <w:tblLook w:firstColumn="1" w:firstRow="1" w:lastColumn="0" w:lastRow="0" w:noHBand="0" w:noVBand="1" w:val="04A0"/>
        <w:tblBorders>
          <w:top w:val="single" w:sz="5" w:space="0" w:color="D9E2E7"/>
          <w:left w:val="single" w:sz="5" w:space="0" w:color="D9E2E7"/>
          <w:bottom w:val="single" w:sz="5" w:space="0" w:color="D9E2E7"/>
          <w:right w:val="single" w:sz="5" w:space="0" w:color="D9E2E7"/>
          <w:insideH w:val="single" w:sz="5" w:space="0" w:color="D9E2E7"/>
          <w:insideV w:val="single" w:sz="5" w:space="0" w:color="D9E2E7"/>
        </w:tblBorders>
      </w:tblPr>
      <w:tblGrid>
        <w:gridCol w:w="5156"/>
        <w:gridCol w:w="5156"/>
      </w:tblGrid>
      <w:tr>
        <w:trPr>
          <w:tblHeader w:val="true"/>
        </w:trPr>
        <w:tc>
          <w:tcPr>
            <w:tcW w:type="dxa" w:w="2551"/>
            <w:shd w:fill="D9F1FA"/>
            <w:tcMar>
              <w:top w:w="70" w:type="dxa"/>
              <w:start w:w="70" w:type="dxa"/>
              <w:bottom w:w="70" w:type="dxa"/>
              <w:end w:w="70" w:type="dxa"/>
            </w:tcMar>
            <w:vAlign w:val="center"/>
          </w:tcPr>
          <w:p>
            <w:pPr>
              <w:spacing w:after="0"/>
              <w:jc w:val="left"/>
            </w:pPr>
            <w:r>
              <w:rPr>
                <w:rFonts w:ascii="Arial" w:hAnsi="Arial"/>
                <w:b/>
                <w:color w:val="232D37"/>
                <w:sz w:val="17"/>
              </w:rPr>
              <w:t>Nivel</w:t>
            </w:r>
          </w:p>
        </w:tc>
        <w:tc>
          <w:tcPr>
            <w:tcW w:type="dxa" w:w="7087"/>
            <w:shd w:fill="D9F1FA"/>
            <w:tcMar>
              <w:top w:w="70" w:type="dxa"/>
              <w:start w:w="70" w:type="dxa"/>
              <w:bottom w:w="70" w:type="dxa"/>
              <w:end w:w="70" w:type="dxa"/>
            </w:tcMar>
            <w:vAlign w:val="center"/>
          </w:tcPr>
          <w:p>
            <w:pPr>
              <w:spacing w:after="0"/>
              <w:jc w:val="left"/>
            </w:pPr>
            <w:r>
              <w:rPr>
                <w:rFonts w:ascii="Arial" w:hAnsi="Arial"/>
                <w:b/>
                <w:color w:val="232D37"/>
                <w:sz w:val="17"/>
              </w:rPr>
              <w:t>Criterio orientador</w:t>
            </w:r>
          </w:p>
        </w:tc>
      </w:tr>
      <w:tr>
        <w:tc>
          <w:tcPr>
            <w:tcW w:type="dxa" w:w="2551"/>
            <w:tcMar>
              <w:top w:w="65" w:type="dxa"/>
              <w:start w:w="70" w:type="dxa"/>
              <w:bottom w:w="65" w:type="dxa"/>
              <w:end w:w="70" w:type="dxa"/>
            </w:tcMar>
            <w:vAlign w:val="top"/>
          </w:tcPr>
          <w:p>
            <w:pPr>
              <w:spacing w:after="0"/>
            </w:pPr>
            <w:r>
              <w:rPr>
                <w:rFonts w:ascii="Arial" w:hAnsi="Arial"/>
                <w:sz w:val="17"/>
              </w:rPr>
              <w:t>Prioridad 1 – inmediata</w:t>
            </w:r>
          </w:p>
        </w:tc>
        <w:tc>
          <w:tcPr>
            <w:tcW w:type="dxa" w:w="7087"/>
            <w:tcMar>
              <w:top w:w="65" w:type="dxa"/>
              <w:start w:w="70" w:type="dxa"/>
              <w:bottom w:w="65" w:type="dxa"/>
              <w:end w:w="70" w:type="dxa"/>
            </w:tcMar>
            <w:vAlign w:val="top"/>
          </w:tcPr>
          <w:p>
            <w:pPr>
              <w:spacing w:after="0"/>
            </w:pPr>
            <w:r>
              <w:rPr>
                <w:rFonts w:ascii="Arial" w:hAnsi="Arial"/>
                <w:sz w:val="17"/>
              </w:rPr>
              <w:t>Riesgo para vida, seguridad o integridad; ausencia de asistencia personal esencial; pérdida de medicamento crítico o ayuda técnica indispensable; imposibilidad de evacuar; violencia o separación; alojamiento inaccesible que genera riesgo.</w:t>
            </w:r>
          </w:p>
        </w:tc>
      </w:tr>
      <w:tr>
        <w:tc>
          <w:tcPr>
            <w:tcW w:type="dxa" w:w="2551"/>
            <w:tcMar>
              <w:top w:w="65" w:type="dxa"/>
              <w:start w:w="70" w:type="dxa"/>
              <w:bottom w:w="65" w:type="dxa"/>
              <w:end w:w="70" w:type="dxa"/>
            </w:tcMar>
            <w:vAlign w:val="top"/>
            <w:shd w:fill="FBFCFD"/>
          </w:tcPr>
          <w:p>
            <w:pPr>
              <w:spacing w:after="0"/>
            </w:pPr>
            <w:r>
              <w:rPr>
                <w:rFonts w:ascii="Arial" w:hAnsi="Arial"/>
                <w:sz w:val="17"/>
              </w:rPr>
              <w:t>Prioridad 2 – corta recuperación</w:t>
            </w:r>
          </w:p>
        </w:tc>
        <w:tc>
          <w:tcPr>
            <w:tcW w:type="dxa" w:w="7087"/>
            <w:tcMar>
              <w:top w:w="65" w:type="dxa"/>
              <w:start w:w="70" w:type="dxa"/>
              <w:bottom w:w="65" w:type="dxa"/>
              <w:end w:w="70" w:type="dxa"/>
            </w:tcMar>
            <w:vAlign w:val="top"/>
            <w:shd w:fill="FBFCFD"/>
          </w:tcPr>
          <w:p>
            <w:pPr>
              <w:spacing w:after="0"/>
            </w:pPr>
            <w:r>
              <w:rPr>
                <w:rFonts w:ascii="Arial" w:hAnsi="Arial"/>
                <w:sz w:val="17"/>
              </w:rPr>
              <w:t>Interrupción de educación, rehabilitación, transferencias, transporte, comunicación o servicios de cuidado; barreras que impiden acceso regular a asistencia.</w:t>
            </w:r>
          </w:p>
        </w:tc>
      </w:tr>
      <w:tr>
        <w:tc>
          <w:tcPr>
            <w:tcW w:type="dxa" w:w="2551"/>
            <w:tcMar>
              <w:top w:w="65" w:type="dxa"/>
              <w:start w:w="70" w:type="dxa"/>
              <w:bottom w:w="65" w:type="dxa"/>
              <w:end w:w="70" w:type="dxa"/>
            </w:tcMar>
            <w:vAlign w:val="top"/>
          </w:tcPr>
          <w:p>
            <w:pPr>
              <w:spacing w:after="0"/>
            </w:pPr>
            <w:r>
              <w:rPr>
                <w:rFonts w:ascii="Arial" w:hAnsi="Arial"/>
                <w:sz w:val="17"/>
              </w:rPr>
              <w:t>Prioridad 3 – reconstrucción</w:t>
            </w:r>
          </w:p>
        </w:tc>
        <w:tc>
          <w:tcPr>
            <w:tcW w:type="dxa" w:w="7087"/>
            <w:tcMar>
              <w:top w:w="65" w:type="dxa"/>
              <w:start w:w="70" w:type="dxa"/>
              <w:bottom w:w="65" w:type="dxa"/>
              <w:end w:w="70" w:type="dxa"/>
            </w:tcMar>
            <w:vAlign w:val="top"/>
          </w:tcPr>
          <w:p>
            <w:pPr>
              <w:spacing w:after="0"/>
            </w:pPr>
            <w:r>
              <w:rPr>
                <w:rFonts w:ascii="Arial" w:hAnsi="Arial"/>
                <w:sz w:val="17"/>
              </w:rPr>
              <w:t>Accesibilidad de vivienda e infraestructura permanente, sistemas de transporte, servicios públicos, espacios comunitarios y mecanismos institucionales de participación.</w:t>
            </w:r>
          </w:p>
        </w:tc>
      </w:tr>
      <w:tr>
        <w:tc>
          <w:tcPr>
            <w:tcW w:type="dxa" w:w="2551"/>
            <w:tcMar>
              <w:top w:w="65" w:type="dxa"/>
              <w:start w:w="70" w:type="dxa"/>
              <w:bottom w:w="65" w:type="dxa"/>
              <w:end w:w="70" w:type="dxa"/>
            </w:tcMar>
            <w:vAlign w:val="top"/>
            <w:shd w:fill="FBFCFD"/>
          </w:tcPr>
          <w:p>
            <w:pPr>
              <w:spacing w:after="0"/>
            </w:pPr>
            <w:r>
              <w:rPr>
                <w:rFonts w:ascii="Arial" w:hAnsi="Arial"/>
                <w:sz w:val="17"/>
              </w:rPr>
              <w:t>Transversal</w:t>
            </w:r>
          </w:p>
        </w:tc>
        <w:tc>
          <w:tcPr>
            <w:tcW w:type="dxa" w:w="7087"/>
            <w:tcMar>
              <w:top w:w="65" w:type="dxa"/>
              <w:start w:w="70" w:type="dxa"/>
              <w:bottom w:w="65" w:type="dxa"/>
              <w:end w:w="70" w:type="dxa"/>
            </w:tcMar>
            <w:vAlign w:val="top"/>
            <w:shd w:fill="FBFCFD"/>
          </w:tcPr>
          <w:p>
            <w:pPr>
              <w:spacing w:after="0"/>
            </w:pPr>
            <w:r>
              <w:rPr>
                <w:rFonts w:ascii="Arial" w:hAnsi="Arial"/>
                <w:sz w:val="17"/>
              </w:rPr>
              <w:t>Toda medida debe evitar institucionalización innecesaria y fortalecer opciones de vida en comunidad, autonomía y redes familiares/comunitarias de apoyo.</w:t>
            </w:r>
          </w:p>
        </w:tc>
      </w:tr>
    </w:tbl>
    <w:p>
      <w:pPr>
        <w:spacing w:after="40"/>
      </w:pPr>
    </w:p>
    <w:p>
      <w:pPr>
        <w:pStyle w:val="Heading1"/>
      </w:pPr>
      <w:r>
        <w:t>10. Indicadores mínimos para saber si la evaluación fue realmente inclusiva</w:t>
      </w:r>
    </w:p>
    <w:p>
      <w:pPr>
        <w:ind w:left="255" w:hanging="142"/>
      </w:pPr>
      <w:r>
        <w:rPr>
          <w:b/>
          <w:color w:val="009BDB"/>
        </w:rPr>
        <w:t xml:space="preserve">• </w:t>
      </w:r>
      <w:r>
        <w:t>Porcentaje de registros de evaluación que permiten desagregar resultados por discapacidad, sexo y edad.</w:t>
      </w:r>
    </w:p>
    <w:p>
      <w:pPr>
        <w:ind w:left="255" w:hanging="142"/>
      </w:pPr>
      <w:r>
        <w:rPr>
          <w:b/>
          <w:color w:val="009BDB"/>
        </w:rPr>
        <w:t xml:space="preserve">• </w:t>
      </w:r>
      <w:r>
        <w:t>Número y diversidad de organizaciones de personas con discapacidad que participaron en diseño, levantamiento, validación o seguimiento.</w:t>
      </w:r>
    </w:p>
    <w:p>
      <w:pPr>
        <w:ind w:left="255" w:hanging="142"/>
      </w:pPr>
      <w:r>
        <w:rPr>
          <w:b/>
          <w:color w:val="009BDB"/>
        </w:rPr>
        <w:t xml:space="preserve">• </w:t>
      </w:r>
      <w:r>
        <w:t>Porcentaje de puntos de consulta y reuniones con accesibilidad física o alternativa equivalente disponible.</w:t>
      </w:r>
    </w:p>
    <w:p>
      <w:pPr>
        <w:ind w:left="255" w:hanging="142"/>
      </w:pPr>
      <w:r>
        <w:rPr>
          <w:b/>
          <w:color w:val="009BDB"/>
        </w:rPr>
        <w:t xml:space="preserve">• </w:t>
      </w:r>
      <w:r>
        <w:t>Disponibilidad de información de evaluación y recuperación en formatos accesibles pertinentes al territorio.</w:t>
      </w:r>
    </w:p>
    <w:p>
      <w:pPr>
        <w:ind w:left="255" w:hanging="142"/>
      </w:pPr>
      <w:r>
        <w:rPr>
          <w:b/>
          <w:color w:val="009BDB"/>
        </w:rPr>
        <w:t xml:space="preserve">• </w:t>
      </w:r>
      <w:r>
        <w:t>Número de personas que reportan pérdida o interrupción de tecnologías de asistencia, asistencia personal, medicamentos, rehabilitación o apoyos de comunicación, y porcentaje con ruta de solución definida.</w:t>
      </w:r>
    </w:p>
    <w:p>
      <w:pPr>
        <w:ind w:left="255" w:hanging="142"/>
      </w:pPr>
      <w:r>
        <w:rPr>
          <w:b/>
          <w:color w:val="009BDB"/>
        </w:rPr>
        <w:t xml:space="preserve">• </w:t>
      </w:r>
      <w:r>
        <w:t>Porcentaje de necesidades de recuperación identificadas que cuentan con responsable, costo estimado y plazo.</w:t>
      </w:r>
    </w:p>
    <w:p>
      <w:pPr>
        <w:ind w:left="255" w:hanging="142"/>
      </w:pPr>
      <w:r>
        <w:rPr>
          <w:b/>
          <w:color w:val="009BDB"/>
        </w:rPr>
        <w:t xml:space="preserve">• </w:t>
      </w:r>
      <w:r>
        <w:t>Porcentaje de proyectos o intervenciones de recuperación que incluyen presupuesto explícito para accesibilidad, ajustes razonables y apoyos.</w:t>
      </w:r>
    </w:p>
    <w:p>
      <w:pPr>
        <w:ind w:left="255" w:hanging="142"/>
      </w:pPr>
      <w:r>
        <w:rPr>
          <w:b/>
          <w:color w:val="009BDB"/>
        </w:rPr>
        <w:t xml:space="preserve">• </w:t>
      </w:r>
      <w:r>
        <w:t>Existencia y uso de un mecanismo accesible para que la comunidad corrija datos, presente quejas y dé seguimiento.</w:t>
      </w:r>
    </w:p>
    <w:tbl>
      <w:tblPr>
        <w:tblW w:type="auto" w:w="0"/>
        <w:jc w:val="center"/>
        <w:tblLayout w:type="fixed"/>
        <w:tblLook w:firstColumn="1" w:firstRow="1" w:lastColumn="0" w:lastRow="0" w:noHBand="0" w:noVBand="1" w:val="04A0"/>
        <w:tblBorders>
          <w:top w:val="single" w:sz="1" w:space="0" w:color="E8F6FC"/>
          <w:left w:val="single" w:sz="1" w:space="0" w:color="E8F6FC"/>
          <w:bottom w:val="single" w:sz="1" w:space="0" w:color="E8F6FC"/>
          <w:right w:val="single" w:sz="1" w:space="0" w:color="E8F6FC"/>
          <w:insideH w:val="single" w:sz="1" w:space="0" w:color="E8F6FC"/>
          <w:insideV w:val="single" w:sz="1" w:space="0" w:color="E8F6FC"/>
        </w:tblBorders>
      </w:tblPr>
      <w:tblGrid>
        <w:gridCol w:w="9921"/>
      </w:tblGrid>
      <w:tr>
        <w:trPr>
          <w:tblHeader w:val="true"/>
        </w:trPr>
        <w:tc>
          <w:tcPr>
            <w:tcW w:type="dxa" w:w="10312"/>
            <w:shd w:fill="E8F6FC"/>
            <w:tcMar>
              <w:top w:w="120" w:type="dxa"/>
              <w:start w:w="160" w:type="dxa"/>
              <w:bottom w:w="120" w:type="dxa"/>
              <w:end w:w="160" w:type="dxa"/>
            </w:tcMar>
          </w:tcPr>
          <w:p>
            <w:pPr>
              <w:spacing w:after="60"/>
            </w:pPr>
            <w:r>
              <w:rPr>
                <w:b/>
                <w:color w:val="009BDB"/>
                <w:sz w:val="21"/>
              </w:rPr>
              <w:t>Criterio de calidad</w:t>
            </w:r>
          </w:p>
          <w:p>
            <w:pPr>
              <w:spacing w:after="0" w:line="252" w:lineRule="auto"/>
            </w:pPr>
            <w:r>
              <w:t>La evaluación no es inclusiva solo porque “incluyó personas con discapacidad” en el registro. Es inclusiva cuando esa información cambia decisiones: dónde se presta un servicio, cómo se comunica, qué se financia, qué se reconstruye y quién participa en la decisión.</w:t>
            </w:r>
          </w:p>
        </w:tc>
      </w:tr>
    </w:tbl>
    <w:p>
      <w:pPr>
        <w:spacing w:after="20"/>
      </w:pPr>
    </w:p>
    <w:p>
      <w:pPr>
        <w:pStyle w:val="Heading1"/>
      </w:pPr>
      <w:r>
        <w:t>11. Roles sugeridos en el territorio</w:t>
      </w:r>
    </w:p>
    <w:tbl>
      <w:tblPr>
        <w:tblW w:type="auto" w:w="0"/>
        <w:jc w:val="center"/>
        <w:tblLayout w:type="fixed"/>
        <w:tblLook w:firstColumn="1" w:firstRow="1" w:lastColumn="0" w:lastRow="0" w:noHBand="0" w:noVBand="1" w:val="04A0"/>
        <w:tblBorders>
          <w:top w:val="single" w:sz="5" w:space="0" w:color="D9E2E7"/>
          <w:left w:val="single" w:sz="5" w:space="0" w:color="D9E2E7"/>
          <w:bottom w:val="single" w:sz="5" w:space="0" w:color="D9E2E7"/>
          <w:right w:val="single" w:sz="5" w:space="0" w:color="D9E2E7"/>
          <w:insideH w:val="single" w:sz="5" w:space="0" w:color="D9E2E7"/>
          <w:insideV w:val="single" w:sz="5" w:space="0" w:color="D9E2E7"/>
        </w:tblBorders>
      </w:tblPr>
      <w:tblGrid>
        <w:gridCol w:w="5156"/>
        <w:gridCol w:w="5156"/>
      </w:tblGrid>
      <w:tr>
        <w:trPr>
          <w:tblHeader w:val="true"/>
        </w:trPr>
        <w:tc>
          <w:tcPr>
            <w:tcW w:type="dxa" w:w="2948"/>
            <w:shd w:fill="D9F1FA"/>
            <w:tcMar>
              <w:top w:w="70" w:type="dxa"/>
              <w:start w:w="70" w:type="dxa"/>
              <w:bottom w:w="70" w:type="dxa"/>
              <w:end w:w="70" w:type="dxa"/>
            </w:tcMar>
            <w:vAlign w:val="center"/>
          </w:tcPr>
          <w:p>
            <w:pPr>
              <w:spacing w:after="0"/>
              <w:jc w:val="left"/>
            </w:pPr>
            <w:r>
              <w:rPr>
                <w:rFonts w:ascii="Arial" w:hAnsi="Arial"/>
                <w:b/>
                <w:color w:val="232D37"/>
                <w:sz w:val="17"/>
              </w:rPr>
              <w:t>Actor</w:t>
            </w:r>
          </w:p>
        </w:tc>
        <w:tc>
          <w:tcPr>
            <w:tcW w:type="dxa" w:w="6690"/>
            <w:shd w:fill="D9F1FA"/>
            <w:tcMar>
              <w:top w:w="70" w:type="dxa"/>
              <w:start w:w="70" w:type="dxa"/>
              <w:bottom w:w="70" w:type="dxa"/>
              <w:end w:w="70" w:type="dxa"/>
            </w:tcMar>
            <w:vAlign w:val="center"/>
          </w:tcPr>
          <w:p>
            <w:pPr>
              <w:spacing w:after="0"/>
              <w:jc w:val="left"/>
            </w:pPr>
            <w:r>
              <w:rPr>
                <w:rFonts w:ascii="Arial" w:hAnsi="Arial"/>
                <w:b/>
                <w:color w:val="232D37"/>
                <w:sz w:val="17"/>
              </w:rPr>
              <w:t>Responsabilidad principal</w:t>
            </w:r>
          </w:p>
        </w:tc>
      </w:tr>
      <w:tr>
        <w:tc>
          <w:tcPr>
            <w:tcW w:type="dxa" w:w="2948"/>
            <w:tcMar>
              <w:top w:w="65" w:type="dxa"/>
              <w:start w:w="70" w:type="dxa"/>
              <w:bottom w:w="65" w:type="dxa"/>
              <w:end w:w="70" w:type="dxa"/>
            </w:tcMar>
            <w:vAlign w:val="top"/>
          </w:tcPr>
          <w:p>
            <w:pPr>
              <w:spacing w:after="0"/>
            </w:pPr>
            <w:r>
              <w:rPr>
                <w:rFonts w:ascii="Arial" w:hAnsi="Arial"/>
                <w:sz w:val="17"/>
              </w:rPr>
              <w:t>Alcaldía / Gobernación / Consejo de Gestión del Riesgo</w:t>
            </w:r>
          </w:p>
        </w:tc>
        <w:tc>
          <w:tcPr>
            <w:tcW w:type="dxa" w:w="6690"/>
            <w:tcMar>
              <w:top w:w="65" w:type="dxa"/>
              <w:start w:w="70" w:type="dxa"/>
              <w:bottom w:w="65" w:type="dxa"/>
              <w:end w:w="70" w:type="dxa"/>
            </w:tcMar>
            <w:vAlign w:val="top"/>
          </w:tcPr>
          <w:p>
            <w:pPr>
              <w:spacing w:after="0"/>
            </w:pPr>
            <w:r>
              <w:rPr>
                <w:rFonts w:ascii="Arial" w:hAnsi="Arial"/>
                <w:sz w:val="17"/>
              </w:rPr>
              <w:t>Asegurar que inclusión sea parte del alcance, presupuesto, equipos, instrumentos, validación y decisiones de recuperación.</w:t>
            </w:r>
          </w:p>
        </w:tc>
      </w:tr>
      <w:tr>
        <w:tc>
          <w:tcPr>
            <w:tcW w:type="dxa" w:w="2948"/>
            <w:tcMar>
              <w:top w:w="65" w:type="dxa"/>
              <w:start w:w="70" w:type="dxa"/>
              <w:bottom w:w="65" w:type="dxa"/>
              <w:end w:w="70" w:type="dxa"/>
            </w:tcMar>
            <w:vAlign w:val="top"/>
            <w:shd w:fill="FBFCFD"/>
          </w:tcPr>
          <w:p>
            <w:pPr>
              <w:spacing w:after="0"/>
            </w:pPr>
            <w:r>
              <w:rPr>
                <w:rFonts w:ascii="Arial" w:hAnsi="Arial"/>
                <w:sz w:val="17"/>
              </w:rPr>
              <w:t>Equipos sectoriales</w:t>
            </w:r>
          </w:p>
        </w:tc>
        <w:tc>
          <w:tcPr>
            <w:tcW w:type="dxa" w:w="6690"/>
            <w:tcMar>
              <w:top w:w="65" w:type="dxa"/>
              <w:start w:w="70" w:type="dxa"/>
              <w:bottom w:w="65" w:type="dxa"/>
              <w:end w:w="70" w:type="dxa"/>
            </w:tcMar>
            <w:vAlign w:val="top"/>
            <w:shd w:fill="FBFCFD"/>
          </w:tcPr>
          <w:p>
            <w:pPr>
              <w:spacing w:after="0"/>
            </w:pPr>
            <w:r>
              <w:rPr>
                <w:rFonts w:ascii="Arial" w:hAnsi="Arial"/>
                <w:sz w:val="17"/>
              </w:rPr>
              <w:t>Aplicar preguntas de inclusión en salud, educación, vivienda, agua, protección, transporte, medios de vida y protección social.</w:t>
            </w:r>
          </w:p>
        </w:tc>
      </w:tr>
      <w:tr>
        <w:tc>
          <w:tcPr>
            <w:tcW w:type="dxa" w:w="2948"/>
            <w:tcMar>
              <w:top w:w="65" w:type="dxa"/>
              <w:start w:w="70" w:type="dxa"/>
              <w:bottom w:w="65" w:type="dxa"/>
              <w:end w:w="70" w:type="dxa"/>
            </w:tcMar>
            <w:vAlign w:val="top"/>
          </w:tcPr>
          <w:p>
            <w:pPr>
              <w:spacing w:after="0"/>
            </w:pPr>
            <w:r>
              <w:rPr>
                <w:rFonts w:ascii="Arial" w:hAnsi="Arial"/>
                <w:sz w:val="17"/>
              </w:rPr>
              <w:t>Organizaciones de personas con discapacidad</w:t>
            </w:r>
          </w:p>
        </w:tc>
        <w:tc>
          <w:tcPr>
            <w:tcW w:type="dxa" w:w="6690"/>
            <w:tcMar>
              <w:top w:w="65" w:type="dxa"/>
              <w:start w:w="70" w:type="dxa"/>
              <w:bottom w:w="65" w:type="dxa"/>
              <w:end w:w="70" w:type="dxa"/>
            </w:tcMar>
            <w:vAlign w:val="top"/>
          </w:tcPr>
          <w:p>
            <w:pPr>
              <w:spacing w:after="0"/>
            </w:pPr>
            <w:r>
              <w:rPr>
                <w:rFonts w:ascii="Arial" w:hAnsi="Arial"/>
                <w:sz w:val="17"/>
              </w:rPr>
              <w:t>Cocrear instrumentos, apoyar identificación de barreras, participar en trabajo de campo y validar prioridades y soluciones.</w:t>
            </w:r>
          </w:p>
        </w:tc>
      </w:tr>
      <w:tr>
        <w:tc>
          <w:tcPr>
            <w:tcW w:type="dxa" w:w="2948"/>
            <w:tcMar>
              <w:top w:w="65" w:type="dxa"/>
              <w:start w:w="70" w:type="dxa"/>
              <w:bottom w:w="65" w:type="dxa"/>
              <w:end w:w="70" w:type="dxa"/>
            </w:tcMar>
            <w:vAlign w:val="top"/>
            <w:shd w:fill="FBFCFD"/>
          </w:tcPr>
          <w:p>
            <w:pPr>
              <w:spacing w:after="0"/>
            </w:pPr>
            <w:r>
              <w:rPr>
                <w:rFonts w:ascii="Arial" w:hAnsi="Arial"/>
                <w:sz w:val="17"/>
              </w:rPr>
              <w:t>Líderes comunitarios y JAC</w:t>
            </w:r>
          </w:p>
        </w:tc>
        <w:tc>
          <w:tcPr>
            <w:tcW w:type="dxa" w:w="6690"/>
            <w:tcMar>
              <w:top w:w="65" w:type="dxa"/>
              <w:start w:w="70" w:type="dxa"/>
              <w:bottom w:w="65" w:type="dxa"/>
              <w:end w:w="70" w:type="dxa"/>
            </w:tcMar>
            <w:vAlign w:val="top"/>
            <w:shd w:fill="FBFCFD"/>
          </w:tcPr>
          <w:p>
            <w:pPr>
              <w:spacing w:after="0"/>
            </w:pPr>
            <w:r>
              <w:rPr>
                <w:rFonts w:ascii="Arial" w:hAnsi="Arial"/>
                <w:sz w:val="17"/>
              </w:rPr>
              <w:t>Identificar personas que pueden quedar invisibilizadas, activar redes de apoyo y facilitar consulta accesible sin sustituir la voz individual.</w:t>
            </w:r>
          </w:p>
        </w:tc>
      </w:tr>
      <w:tr>
        <w:tc>
          <w:tcPr>
            <w:tcW w:type="dxa" w:w="2948"/>
            <w:tcMar>
              <w:top w:w="65" w:type="dxa"/>
              <w:start w:w="70" w:type="dxa"/>
              <w:bottom w:w="65" w:type="dxa"/>
              <w:end w:w="70" w:type="dxa"/>
            </w:tcMar>
            <w:vAlign w:val="top"/>
          </w:tcPr>
          <w:p>
            <w:pPr>
              <w:spacing w:after="0"/>
            </w:pPr>
            <w:r>
              <w:rPr>
                <w:rFonts w:ascii="Arial" w:hAnsi="Arial"/>
                <w:sz w:val="17"/>
              </w:rPr>
              <w:t>Equipos de información</w:t>
            </w:r>
          </w:p>
        </w:tc>
        <w:tc>
          <w:tcPr>
            <w:tcW w:type="dxa" w:w="6690"/>
            <w:tcMar>
              <w:top w:w="65" w:type="dxa"/>
              <w:start w:w="70" w:type="dxa"/>
              <w:bottom w:w="65" w:type="dxa"/>
              <w:end w:w="70" w:type="dxa"/>
            </w:tcMar>
            <w:vAlign w:val="top"/>
          </w:tcPr>
          <w:p>
            <w:pPr>
              <w:spacing w:after="0"/>
            </w:pPr>
            <w:r>
              <w:rPr>
                <w:rFonts w:ascii="Arial" w:hAnsi="Arial"/>
                <w:sz w:val="17"/>
              </w:rPr>
              <w:t>Garantizar desagregación, protección de datos, interoperabilidad y tableros que muestren brechas de acceso.</w:t>
            </w:r>
          </w:p>
        </w:tc>
      </w:tr>
      <w:tr>
        <w:tc>
          <w:tcPr>
            <w:tcW w:type="dxa" w:w="2948"/>
            <w:tcMar>
              <w:top w:w="65" w:type="dxa"/>
              <w:start w:w="70" w:type="dxa"/>
              <w:bottom w:w="65" w:type="dxa"/>
              <w:end w:w="70" w:type="dxa"/>
            </w:tcMar>
            <w:vAlign w:val="top"/>
            <w:shd w:fill="FBFCFD"/>
          </w:tcPr>
          <w:p>
            <w:pPr>
              <w:spacing w:after="0"/>
            </w:pPr>
            <w:r>
              <w:rPr>
                <w:rFonts w:ascii="Arial" w:hAnsi="Arial"/>
                <w:sz w:val="17"/>
              </w:rPr>
              <w:t>Entidades de inclusión, salud y protección social</w:t>
            </w:r>
          </w:p>
        </w:tc>
        <w:tc>
          <w:tcPr>
            <w:tcW w:type="dxa" w:w="6690"/>
            <w:tcMar>
              <w:top w:w="65" w:type="dxa"/>
              <w:start w:w="70" w:type="dxa"/>
              <w:bottom w:w="65" w:type="dxa"/>
              <w:end w:w="70" w:type="dxa"/>
            </w:tcMar>
            <w:vAlign w:val="top"/>
            <w:shd w:fill="FBFCFD"/>
          </w:tcPr>
          <w:p>
            <w:pPr>
              <w:spacing w:after="0"/>
            </w:pPr>
            <w:r>
              <w:rPr>
                <w:rFonts w:ascii="Arial" w:hAnsi="Arial"/>
                <w:sz w:val="17"/>
              </w:rPr>
              <w:t>Activar rutas para apoyos, tecnologías de asistencia, cuidado, certificación cuando corresponda, transferencias y gestión de casos.</w:t>
            </w:r>
          </w:p>
        </w:tc>
      </w:tr>
      <w:tr>
        <w:tc>
          <w:tcPr>
            <w:tcW w:type="dxa" w:w="2948"/>
            <w:tcMar>
              <w:top w:w="65" w:type="dxa"/>
              <w:start w:w="70" w:type="dxa"/>
              <w:bottom w:w="65" w:type="dxa"/>
              <w:end w:w="70" w:type="dxa"/>
            </w:tcMar>
            <w:vAlign w:val="top"/>
          </w:tcPr>
          <w:p>
            <w:pPr>
              <w:spacing w:after="0"/>
            </w:pPr>
            <w:r>
              <w:rPr>
                <w:rFonts w:ascii="Arial" w:hAnsi="Arial"/>
                <w:sz w:val="17"/>
              </w:rPr>
              <w:t>Cooperación y sector privado</w:t>
            </w:r>
          </w:p>
        </w:tc>
        <w:tc>
          <w:tcPr>
            <w:tcW w:type="dxa" w:w="6690"/>
            <w:tcMar>
              <w:top w:w="65" w:type="dxa"/>
              <w:start w:w="70" w:type="dxa"/>
              <w:bottom w:w="65" w:type="dxa"/>
              <w:end w:w="70" w:type="dxa"/>
            </w:tcMar>
            <w:vAlign w:val="top"/>
          </w:tcPr>
          <w:p>
            <w:pPr>
              <w:spacing w:after="0"/>
            </w:pPr>
            <w:r>
              <w:rPr>
                <w:rFonts w:ascii="Arial" w:hAnsi="Arial"/>
                <w:sz w:val="17"/>
              </w:rPr>
              <w:t>Apoyar capacidad técnica, accesibilidad, soluciones de apoyo, reconstrucción inclusiva y financiación de brechas no cubiertas.</w:t>
            </w:r>
          </w:p>
        </w:tc>
      </w:tr>
    </w:tbl>
    <w:p>
      <w:pPr>
        <w:spacing w:after="40"/>
      </w:pPr>
    </w:p>
    <w:p>
      <w:pPr>
        <w:pStyle w:val="Heading1"/>
      </w:pPr>
      <w:r>
        <w:t>12. Marco de referencia y recursos para consulta</w:t>
      </w:r>
    </w:p>
    <w:p>
      <w:r>
        <w:t>Los siguientes recursos sustentan y amplían las orientaciones de esta guía. Se recomienda utilizar siempre las versiones oficiales y actualizadas.</w:t>
      </w:r>
    </w:p>
    <w:tbl>
      <w:tblPr>
        <w:tblW w:type="auto" w:w="0"/>
        <w:jc w:val="center"/>
        <w:tblLayout w:type="fixed"/>
        <w:tblLook w:firstColumn="1" w:firstRow="1" w:lastColumn="0" w:lastRow="0" w:noHBand="0" w:noVBand="1" w:val="04A0"/>
        <w:tblBorders>
          <w:top w:val="single" w:sz="5" w:space="0" w:color="D9E2E7"/>
          <w:left w:val="single" w:sz="5" w:space="0" w:color="D9E2E7"/>
          <w:bottom w:val="single" w:sz="5" w:space="0" w:color="D9E2E7"/>
          <w:right w:val="single" w:sz="5" w:space="0" w:color="D9E2E7"/>
          <w:insideH w:val="single" w:sz="5" w:space="0" w:color="D9E2E7"/>
          <w:insideV w:val="single" w:sz="5" w:space="0" w:color="D9E2E7"/>
        </w:tblBorders>
      </w:tblPr>
      <w:tblGrid>
        <w:gridCol w:w="3437"/>
        <w:gridCol w:w="3437"/>
        <w:gridCol w:w="3437"/>
      </w:tblGrid>
      <w:tr>
        <w:trPr>
          <w:tblHeader w:val="true"/>
        </w:trPr>
        <w:tc>
          <w:tcPr>
            <w:tcW w:type="dxa" w:w="3005"/>
            <w:shd w:fill="D9F1FA"/>
            <w:tcMar>
              <w:top w:w="70" w:type="dxa"/>
              <w:start w:w="70" w:type="dxa"/>
              <w:bottom w:w="70" w:type="dxa"/>
              <w:end w:w="70" w:type="dxa"/>
            </w:tcMar>
          </w:tcPr>
          <w:p>
            <w:r>
              <w:rPr>
                <w:rFonts w:ascii="Arial" w:hAnsi="Arial"/>
                <w:b/>
                <w:sz w:val="17"/>
              </w:rPr>
              <w:t>Recurso</w:t>
            </w:r>
          </w:p>
        </w:tc>
        <w:tc>
          <w:tcPr>
            <w:tcW w:type="dxa" w:w="4989"/>
            <w:shd w:fill="D9F1FA"/>
            <w:tcMar>
              <w:top w:w="70" w:type="dxa"/>
              <w:start w:w="70" w:type="dxa"/>
              <w:bottom w:w="70" w:type="dxa"/>
              <w:end w:w="70" w:type="dxa"/>
            </w:tcMar>
          </w:tcPr>
          <w:p>
            <w:r>
              <w:rPr>
                <w:rFonts w:ascii="Arial" w:hAnsi="Arial"/>
                <w:b/>
                <w:sz w:val="17"/>
              </w:rPr>
              <w:t>Utilidad</w:t>
            </w:r>
          </w:p>
        </w:tc>
        <w:tc>
          <w:tcPr>
            <w:tcW w:type="dxa" w:w="1644"/>
            <w:shd w:fill="D9F1FA"/>
            <w:tcMar>
              <w:top w:w="70" w:type="dxa"/>
              <w:start w:w="70" w:type="dxa"/>
              <w:bottom w:w="70" w:type="dxa"/>
              <w:end w:w="70" w:type="dxa"/>
            </w:tcMar>
          </w:tcPr>
          <w:p>
            <w:r>
              <w:rPr>
                <w:rFonts w:ascii="Arial" w:hAnsi="Arial"/>
                <w:b/>
                <w:sz w:val="17"/>
              </w:rPr>
              <w:t>Enlace</w:t>
            </w:r>
          </w:p>
        </w:tc>
      </w:tr>
      <w:tr>
        <w:tc>
          <w:tcPr>
            <w:tcW w:type="dxa" w:w="3005"/>
            <w:tcMar>
              <w:top w:w="65" w:type="dxa"/>
              <w:start w:w="70" w:type="dxa"/>
              <w:bottom w:w="65" w:type="dxa"/>
              <w:end w:w="70" w:type="dxa"/>
            </w:tcMar>
            <w:vAlign w:val="top"/>
          </w:tcPr>
          <w:p>
            <w:r>
              <w:rPr>
                <w:rFonts w:ascii="Arial" w:hAnsi="Arial"/>
                <w:b/>
                <w:sz w:val="16"/>
              </w:rPr>
              <w:t>PDNA – Post-Disaster Needs Assessment Guidelines, Volume A</w:t>
            </w:r>
          </w:p>
        </w:tc>
        <w:tc>
          <w:tcPr>
            <w:tcW w:type="dxa" w:w="4989"/>
            <w:tcMar>
              <w:top w:w="65" w:type="dxa"/>
              <w:start w:w="70" w:type="dxa"/>
              <w:bottom w:w="65" w:type="dxa"/>
              <w:end w:w="70" w:type="dxa"/>
            </w:tcMar>
            <w:vAlign w:val="top"/>
          </w:tcPr>
          <w:p>
            <w:r>
              <w:rPr>
                <w:rFonts w:ascii="Arial" w:hAnsi="Arial"/>
                <w:sz w:val="16"/>
              </w:rPr>
              <w:t>Metodología para integrar línea de base, efectos, impactos y necesidades de recuperación, con participación de población afectada y análisis de vulnerabilidades.</w:t>
            </w:r>
          </w:p>
        </w:tc>
        <w:tc>
          <w:tcPr>
            <w:tcW w:type="dxa" w:w="1644"/>
            <w:tcMar>
              <w:top w:w="65" w:type="dxa"/>
              <w:start w:w="70" w:type="dxa"/>
              <w:bottom w:w="65" w:type="dxa"/>
              <w:end w:w="70" w:type="dxa"/>
            </w:tcMar>
            <w:vAlign w:val="top"/>
          </w:tcPr>
          <w:p>
            <w:hyperlink r:id="rId11">
              <w:r>
                <w:rPr>
                  <w:color w:val="0077A8"/>
                  <w:u w:val="single"/>
                  <w:rFonts w:ascii="Arial" w:hAnsi="Arial"/>
                  <w:sz w:val="20"/>
                </w:rPr>
                <w:t>Abrir recurso</w:t>
              </w:r>
            </w:hyperlink>
          </w:p>
        </w:tc>
      </w:tr>
      <w:tr>
        <w:tc>
          <w:tcPr>
            <w:tcW w:type="dxa" w:w="3005"/>
            <w:tcMar>
              <w:top w:w="65" w:type="dxa"/>
              <w:start w:w="70" w:type="dxa"/>
              <w:bottom w:w="65" w:type="dxa"/>
              <w:end w:w="70" w:type="dxa"/>
            </w:tcMar>
            <w:vAlign w:val="top"/>
          </w:tcPr>
          <w:p>
            <w:r>
              <w:rPr>
                <w:rFonts w:ascii="Arial" w:hAnsi="Arial"/>
                <w:b/>
                <w:sz w:val="16"/>
              </w:rPr>
              <w:t>Respuesta Humanitaria Inclusiva – inclusivosyresilientes.org</w:t>
            </w:r>
          </w:p>
        </w:tc>
        <w:tc>
          <w:tcPr>
            <w:tcW w:type="dxa" w:w="4989"/>
            <w:tcMar>
              <w:top w:w="65" w:type="dxa"/>
              <w:start w:w="70" w:type="dxa"/>
              <w:bottom w:w="65" w:type="dxa"/>
              <w:end w:w="70" w:type="dxa"/>
            </w:tcMar>
            <w:vAlign w:val="top"/>
          </w:tcPr>
          <w:p>
            <w:r>
              <w:rPr>
                <w:rFonts w:ascii="Arial" w:hAnsi="Arial"/>
                <w:sz w:val="16"/>
              </w:rPr>
              <w:t>Síntesis en español de acciones imprescindibles: participación real, eliminación de barreras, fortalecimiento de capacidades y datos desagregados; incluye 12 verificaciones territoriales.</w:t>
            </w:r>
          </w:p>
        </w:tc>
        <w:tc>
          <w:tcPr>
            <w:tcW w:type="dxa" w:w="1644"/>
            <w:tcMar>
              <w:top w:w="65" w:type="dxa"/>
              <w:start w:w="70" w:type="dxa"/>
              <w:bottom w:w="65" w:type="dxa"/>
              <w:end w:w="70" w:type="dxa"/>
            </w:tcMar>
            <w:vAlign w:val="top"/>
          </w:tcPr>
          <w:p>
            <w:hyperlink r:id="rId12">
              <w:r>
                <w:rPr>
                  <w:color w:val="0077A8"/>
                  <w:u w:val="single"/>
                  <w:rFonts w:ascii="Arial" w:hAnsi="Arial"/>
                  <w:sz w:val="20"/>
                </w:rPr>
                <w:t>Abrir recurso</w:t>
              </w:r>
            </w:hyperlink>
          </w:p>
        </w:tc>
      </w:tr>
      <w:tr>
        <w:tc>
          <w:tcPr>
            <w:tcW w:type="dxa" w:w="3005"/>
            <w:tcMar>
              <w:top w:w="65" w:type="dxa"/>
              <w:start w:w="70" w:type="dxa"/>
              <w:bottom w:w="65" w:type="dxa"/>
              <w:end w:w="70" w:type="dxa"/>
            </w:tcMar>
            <w:vAlign w:val="top"/>
          </w:tcPr>
          <w:p>
            <w:r>
              <w:rPr>
                <w:rFonts w:ascii="Arial" w:hAnsi="Arial"/>
                <w:b/>
                <w:sz w:val="16"/>
              </w:rPr>
              <w:t>UNICEF Disability-Inclusive Humanitarian Action Toolkit</w:t>
            </w:r>
          </w:p>
        </w:tc>
        <w:tc>
          <w:tcPr>
            <w:tcW w:type="dxa" w:w="4989"/>
            <w:tcMar>
              <w:top w:w="65" w:type="dxa"/>
              <w:start w:w="70" w:type="dxa"/>
              <w:bottom w:w="65" w:type="dxa"/>
              <w:end w:w="70" w:type="dxa"/>
            </w:tcMar>
            <w:vAlign w:val="top"/>
          </w:tcPr>
          <w:p>
            <w:r>
              <w:rPr>
                <w:rFonts w:ascii="Arial" w:hAnsi="Arial"/>
                <w:sz w:val="16"/>
              </w:rPr>
              <w:t>Herramientas operativas, listas de verificación y materiales de formación para incluir a niñas y niños con discapacidad en la acción humanitaria.</w:t>
            </w:r>
          </w:p>
        </w:tc>
        <w:tc>
          <w:tcPr>
            <w:tcW w:type="dxa" w:w="1644"/>
            <w:tcMar>
              <w:top w:w="65" w:type="dxa"/>
              <w:start w:w="70" w:type="dxa"/>
              <w:bottom w:w="65" w:type="dxa"/>
              <w:end w:w="70" w:type="dxa"/>
            </w:tcMar>
            <w:vAlign w:val="top"/>
          </w:tcPr>
          <w:p>
            <w:hyperlink r:id="rId13">
              <w:r>
                <w:rPr>
                  <w:color w:val="0077A8"/>
                  <w:u w:val="single"/>
                  <w:rFonts w:ascii="Arial" w:hAnsi="Arial"/>
                  <w:sz w:val="20"/>
                </w:rPr>
                <w:t>Abrir recurso</w:t>
              </w:r>
            </w:hyperlink>
          </w:p>
        </w:tc>
      </w:tr>
      <w:tr>
        <w:tc>
          <w:tcPr>
            <w:tcW w:type="dxa" w:w="3005"/>
            <w:tcMar>
              <w:top w:w="65" w:type="dxa"/>
              <w:start w:w="70" w:type="dxa"/>
              <w:bottom w:w="65" w:type="dxa"/>
              <w:end w:w="70" w:type="dxa"/>
            </w:tcMar>
            <w:vAlign w:val="top"/>
          </w:tcPr>
          <w:p>
            <w:r>
              <w:rPr>
                <w:rFonts w:ascii="Arial" w:hAnsi="Arial"/>
                <w:b/>
                <w:sz w:val="16"/>
              </w:rPr>
              <w:t>UNICEF – Essential actions checklist</w:t>
            </w:r>
          </w:p>
        </w:tc>
        <w:tc>
          <w:tcPr>
            <w:tcW w:type="dxa" w:w="4989"/>
            <w:tcMar>
              <w:top w:w="65" w:type="dxa"/>
              <w:start w:w="70" w:type="dxa"/>
              <w:bottom w:w="65" w:type="dxa"/>
              <w:end w:w="70" w:type="dxa"/>
            </w:tcMar>
            <w:vAlign w:val="top"/>
          </w:tcPr>
          <w:p>
            <w:r>
              <w:rPr>
                <w:rFonts w:ascii="Arial" w:hAnsi="Arial"/>
                <w:sz w:val="16"/>
              </w:rPr>
              <w:t>Lista de acciones esenciales para preparación, coordinación, evaluación, implementación y monitoreo inclusivos.</w:t>
            </w:r>
          </w:p>
        </w:tc>
        <w:tc>
          <w:tcPr>
            <w:tcW w:type="dxa" w:w="1644"/>
            <w:tcMar>
              <w:top w:w="65" w:type="dxa"/>
              <w:start w:w="70" w:type="dxa"/>
              <w:bottom w:w="65" w:type="dxa"/>
              <w:end w:w="70" w:type="dxa"/>
            </w:tcMar>
            <w:vAlign w:val="top"/>
          </w:tcPr>
          <w:p>
            <w:hyperlink r:id="rId14">
              <w:r>
                <w:rPr>
                  <w:color w:val="0077A8"/>
                  <w:u w:val="single"/>
                  <w:rFonts w:ascii="Arial" w:hAnsi="Arial"/>
                  <w:sz w:val="20"/>
                </w:rPr>
                <w:t>Abrir recurso</w:t>
              </w:r>
            </w:hyperlink>
          </w:p>
        </w:tc>
      </w:tr>
      <w:tr>
        <w:tc>
          <w:tcPr>
            <w:tcW w:type="dxa" w:w="3005"/>
            <w:tcMar>
              <w:top w:w="65" w:type="dxa"/>
              <w:start w:w="70" w:type="dxa"/>
              <w:bottom w:w="65" w:type="dxa"/>
              <w:end w:w="70" w:type="dxa"/>
            </w:tcMar>
            <w:vAlign w:val="top"/>
          </w:tcPr>
          <w:p>
            <w:r>
              <w:rPr>
                <w:rFonts w:ascii="Arial" w:hAnsi="Arial"/>
                <w:b/>
                <w:sz w:val="16"/>
              </w:rPr>
              <w:t>UNICEF/Washington Group – Child Functioning Module, Humanitarian Version</w:t>
            </w:r>
          </w:p>
        </w:tc>
        <w:tc>
          <w:tcPr>
            <w:tcW w:type="dxa" w:w="4989"/>
            <w:tcMar>
              <w:top w:w="65" w:type="dxa"/>
              <w:start w:w="70" w:type="dxa"/>
              <w:bottom w:w="65" w:type="dxa"/>
              <w:end w:w="70" w:type="dxa"/>
            </w:tcMar>
            <w:vAlign w:val="top"/>
          </w:tcPr>
          <w:p>
            <w:r>
              <w:rPr>
                <w:rFonts w:ascii="Arial" w:hAnsi="Arial"/>
                <w:sz w:val="16"/>
              </w:rPr>
              <w:t>Versión del módulo de funcionamiento infantil diseñada específicamente para restricciones de tiempo y datos en contextos humanitarios.</w:t>
            </w:r>
          </w:p>
        </w:tc>
        <w:tc>
          <w:tcPr>
            <w:tcW w:type="dxa" w:w="1644"/>
            <w:tcMar>
              <w:top w:w="65" w:type="dxa"/>
              <w:start w:w="70" w:type="dxa"/>
              <w:bottom w:w="65" w:type="dxa"/>
              <w:end w:w="70" w:type="dxa"/>
            </w:tcMar>
            <w:vAlign w:val="top"/>
          </w:tcPr>
          <w:p>
            <w:hyperlink r:id="rId15">
              <w:r>
                <w:rPr>
                  <w:color w:val="0077A8"/>
                  <w:u w:val="single"/>
                  <w:rFonts w:ascii="Arial" w:hAnsi="Arial"/>
                  <w:sz w:val="20"/>
                </w:rPr>
                <w:t>Abrir recurso</w:t>
              </w:r>
            </w:hyperlink>
          </w:p>
        </w:tc>
      </w:tr>
      <w:tr>
        <w:tc>
          <w:tcPr>
            <w:tcW w:type="dxa" w:w="3005"/>
            <w:tcMar>
              <w:top w:w="65" w:type="dxa"/>
              <w:start w:w="70" w:type="dxa"/>
              <w:bottom w:w="65" w:type="dxa"/>
              <w:end w:w="70" w:type="dxa"/>
            </w:tcMar>
            <w:vAlign w:val="top"/>
          </w:tcPr>
          <w:p>
            <w:r>
              <w:rPr>
                <w:rFonts w:ascii="Arial" w:hAnsi="Arial"/>
                <w:b/>
                <w:sz w:val="16"/>
              </w:rPr>
              <w:t>Washington Group Short Set on Functioning</w:t>
            </w:r>
          </w:p>
        </w:tc>
        <w:tc>
          <w:tcPr>
            <w:tcW w:type="dxa" w:w="4989"/>
            <w:tcMar>
              <w:top w:w="65" w:type="dxa"/>
              <w:start w:w="70" w:type="dxa"/>
              <w:bottom w:w="65" w:type="dxa"/>
              <w:end w:w="70" w:type="dxa"/>
            </w:tcMar>
            <w:vAlign w:val="top"/>
          </w:tcPr>
          <w:p>
            <w:r>
              <w:rPr>
                <w:rFonts w:ascii="Arial" w:hAnsi="Arial"/>
                <w:sz w:val="16"/>
              </w:rPr>
              <w:t>Conjunto breve para identificar dificultades funcionales en adultos y desagregar indicadores de participación y acceso.</w:t>
            </w:r>
          </w:p>
        </w:tc>
        <w:tc>
          <w:tcPr>
            <w:tcW w:type="dxa" w:w="1644"/>
            <w:tcMar>
              <w:top w:w="65" w:type="dxa"/>
              <w:start w:w="70" w:type="dxa"/>
              <w:bottom w:w="65" w:type="dxa"/>
              <w:end w:w="70" w:type="dxa"/>
            </w:tcMar>
            <w:vAlign w:val="top"/>
          </w:tcPr>
          <w:p>
            <w:hyperlink r:id="rId16">
              <w:r>
                <w:rPr>
                  <w:color w:val="0077A8"/>
                  <w:u w:val="single"/>
                  <w:rFonts w:ascii="Arial" w:hAnsi="Arial"/>
                  <w:sz w:val="20"/>
                </w:rPr>
                <w:t>Abrir recurso</w:t>
              </w:r>
            </w:hyperlink>
          </w:p>
        </w:tc>
      </w:tr>
      <w:tr>
        <w:tc>
          <w:tcPr>
            <w:tcW w:type="dxa" w:w="3005"/>
            <w:tcMar>
              <w:top w:w="65" w:type="dxa"/>
              <w:start w:w="70" w:type="dxa"/>
              <w:bottom w:w="65" w:type="dxa"/>
              <w:end w:w="70" w:type="dxa"/>
            </w:tcMar>
            <w:vAlign w:val="top"/>
          </w:tcPr>
          <w:p>
            <w:r>
              <w:rPr>
                <w:rFonts w:ascii="Arial" w:hAnsi="Arial"/>
                <w:b/>
                <w:sz w:val="16"/>
              </w:rPr>
              <w:t>IASC Guidelines on Inclusion of Persons with Disabilities in Humanitarian Action</w:t>
            </w:r>
          </w:p>
        </w:tc>
        <w:tc>
          <w:tcPr>
            <w:tcW w:type="dxa" w:w="4989"/>
            <w:tcMar>
              <w:top w:w="65" w:type="dxa"/>
              <w:start w:w="70" w:type="dxa"/>
              <w:bottom w:w="65" w:type="dxa"/>
              <w:end w:w="70" w:type="dxa"/>
            </w:tcMar>
            <w:vAlign w:val="top"/>
          </w:tcPr>
          <w:p>
            <w:r>
              <w:rPr>
                <w:rFonts w:ascii="Arial" w:hAnsi="Arial"/>
                <w:sz w:val="16"/>
              </w:rPr>
              <w:t>Directrices interagenciales para poner a las personas con discapacidad en el centro de la acción humanitaria y asegurar participación significativa.</w:t>
            </w:r>
          </w:p>
        </w:tc>
        <w:tc>
          <w:tcPr>
            <w:tcW w:type="dxa" w:w="1644"/>
            <w:tcMar>
              <w:top w:w="65" w:type="dxa"/>
              <w:start w:w="70" w:type="dxa"/>
              <w:bottom w:w="65" w:type="dxa"/>
              <w:end w:w="70" w:type="dxa"/>
            </w:tcMar>
            <w:vAlign w:val="top"/>
          </w:tcPr>
          <w:p>
            <w:hyperlink r:id="rId17">
              <w:r>
                <w:rPr>
                  <w:color w:val="0077A8"/>
                  <w:u w:val="single"/>
                  <w:rFonts w:ascii="Arial" w:hAnsi="Arial"/>
                  <w:sz w:val="20"/>
                </w:rPr>
                <w:t>Abrir recurso</w:t>
              </w:r>
            </w:hyperlink>
          </w:p>
        </w:tc>
      </w:tr>
      <w:tr>
        <w:tc>
          <w:tcPr>
            <w:tcW w:type="dxa" w:w="3005"/>
            <w:tcMar>
              <w:top w:w="65" w:type="dxa"/>
              <w:start w:w="70" w:type="dxa"/>
              <w:bottom w:w="65" w:type="dxa"/>
              <w:end w:w="70" w:type="dxa"/>
            </w:tcMar>
            <w:vAlign w:val="top"/>
          </w:tcPr>
          <w:p>
            <w:r>
              <w:rPr>
                <w:rFonts w:ascii="Arial" w:hAnsi="Arial"/>
                <w:b/>
                <w:sz w:val="16"/>
              </w:rPr>
              <w:t>Convención sobre los Derechos de las Personas con Discapacidad</w:t>
            </w:r>
          </w:p>
        </w:tc>
        <w:tc>
          <w:tcPr>
            <w:tcW w:type="dxa" w:w="4989"/>
            <w:tcMar>
              <w:top w:w="65" w:type="dxa"/>
              <w:start w:w="70" w:type="dxa"/>
              <w:bottom w:w="65" w:type="dxa"/>
              <w:end w:w="70" w:type="dxa"/>
            </w:tcMar>
            <w:vAlign w:val="top"/>
          </w:tcPr>
          <w:p>
            <w:r>
              <w:rPr>
                <w:rFonts w:ascii="Arial" w:hAnsi="Arial"/>
                <w:sz w:val="16"/>
              </w:rPr>
              <w:t>Artículo 11 exige medidas para proteger y garantizar la seguridad de las personas con discapacidad en situaciones de riesgo y emergencias humanitarias; los artículos sobre accesibilidad y comunicación complementan este deber.</w:t>
            </w:r>
          </w:p>
        </w:tc>
        <w:tc>
          <w:tcPr>
            <w:tcW w:type="dxa" w:w="1644"/>
            <w:tcMar>
              <w:top w:w="65" w:type="dxa"/>
              <w:start w:w="70" w:type="dxa"/>
              <w:bottom w:w="65" w:type="dxa"/>
              <w:end w:w="70" w:type="dxa"/>
            </w:tcMar>
            <w:vAlign w:val="top"/>
          </w:tcPr>
          <w:p>
            <w:hyperlink r:id="rId18">
              <w:r>
                <w:rPr>
                  <w:color w:val="0077A8"/>
                  <w:u w:val="single"/>
                  <w:rFonts w:ascii="Arial" w:hAnsi="Arial"/>
                  <w:sz w:val="20"/>
                </w:rPr>
                <w:t>Abrir recurso</w:t>
              </w:r>
            </w:hyperlink>
          </w:p>
        </w:tc>
      </w:tr>
      <w:tr>
        <w:tc>
          <w:tcPr>
            <w:tcW w:type="dxa" w:w="3005"/>
            <w:tcMar>
              <w:top w:w="65" w:type="dxa"/>
              <w:start w:w="70" w:type="dxa"/>
              <w:bottom w:w="65" w:type="dxa"/>
              <w:end w:w="70" w:type="dxa"/>
            </w:tcMar>
            <w:vAlign w:val="top"/>
          </w:tcPr>
          <w:p>
            <w:r>
              <w:rPr>
                <w:rFonts w:ascii="Arial" w:hAnsi="Arial"/>
                <w:b/>
                <w:sz w:val="16"/>
              </w:rPr>
              <w:t>Ley 1523 de 2012 – Política Nacional de Gestión del Riesgo de Desastres</w:t>
            </w:r>
          </w:p>
        </w:tc>
        <w:tc>
          <w:tcPr>
            <w:tcW w:type="dxa" w:w="4989"/>
            <w:tcMar>
              <w:top w:w="65" w:type="dxa"/>
              <w:start w:w="70" w:type="dxa"/>
              <w:bottom w:w="65" w:type="dxa"/>
              <w:end w:w="70" w:type="dxa"/>
            </w:tcMar>
            <w:vAlign w:val="top"/>
          </w:tcPr>
          <w:p>
            <w:r>
              <w:rPr>
                <w:rFonts w:ascii="Arial" w:hAnsi="Arial"/>
                <w:sz w:val="16"/>
              </w:rPr>
              <w:t>Marco colombiano del Sistema Nacional de Gestión del Riesgo de Desastres y de la participación efectiva de la población en la gestión del riesgo.</w:t>
            </w:r>
          </w:p>
        </w:tc>
        <w:tc>
          <w:tcPr>
            <w:tcW w:type="dxa" w:w="1644"/>
            <w:tcMar>
              <w:top w:w="65" w:type="dxa"/>
              <w:start w:w="70" w:type="dxa"/>
              <w:bottom w:w="65" w:type="dxa"/>
              <w:end w:w="70" w:type="dxa"/>
            </w:tcMar>
            <w:vAlign w:val="top"/>
          </w:tcPr>
          <w:p>
            <w:hyperlink r:id="rId19">
              <w:r>
                <w:rPr>
                  <w:color w:val="0077A8"/>
                  <w:u w:val="single"/>
                  <w:rFonts w:ascii="Arial" w:hAnsi="Arial"/>
                  <w:sz w:val="20"/>
                </w:rPr>
                <w:t>Abrir recurso</w:t>
              </w:r>
            </w:hyperlink>
          </w:p>
        </w:tc>
      </w:tr>
      <w:tr>
        <w:tc>
          <w:tcPr>
            <w:tcW w:type="dxa" w:w="3005"/>
            <w:tcMar>
              <w:top w:w="65" w:type="dxa"/>
              <w:start w:w="70" w:type="dxa"/>
              <w:bottom w:w="65" w:type="dxa"/>
              <w:end w:w="70" w:type="dxa"/>
            </w:tcMar>
            <w:vAlign w:val="top"/>
          </w:tcPr>
          <w:p>
            <w:r>
              <w:rPr>
                <w:rFonts w:ascii="Arial" w:hAnsi="Arial"/>
                <w:b/>
                <w:sz w:val="16"/>
              </w:rPr>
              <w:t>Ley 1618 de 2013</w:t>
            </w:r>
          </w:p>
        </w:tc>
        <w:tc>
          <w:tcPr>
            <w:tcW w:type="dxa" w:w="4989"/>
            <w:tcMar>
              <w:top w:w="65" w:type="dxa"/>
              <w:start w:w="70" w:type="dxa"/>
              <w:bottom w:w="65" w:type="dxa"/>
              <w:end w:w="70" w:type="dxa"/>
            </w:tcMar>
            <w:vAlign w:val="top"/>
          </w:tcPr>
          <w:p>
            <w:r>
              <w:rPr>
                <w:rFonts w:ascii="Arial" w:hAnsi="Arial"/>
                <w:sz w:val="16"/>
              </w:rPr>
              <w:t>Obliga a garantizar acceso y accesibilidad al entorno físico, transporte, información, comunicaciones, espacio público, bienes y servicios.</w:t>
            </w:r>
          </w:p>
        </w:tc>
        <w:tc>
          <w:tcPr>
            <w:tcW w:type="dxa" w:w="1644"/>
            <w:tcMar>
              <w:top w:w="65" w:type="dxa"/>
              <w:start w:w="70" w:type="dxa"/>
              <w:bottom w:w="65" w:type="dxa"/>
              <w:end w:w="70" w:type="dxa"/>
            </w:tcMar>
            <w:vAlign w:val="top"/>
          </w:tcPr>
          <w:p>
            <w:hyperlink r:id="rId20">
              <w:r>
                <w:rPr>
                  <w:color w:val="0077A8"/>
                  <w:u w:val="single"/>
                  <w:rFonts w:ascii="Arial" w:hAnsi="Arial"/>
                  <w:sz w:val="20"/>
                </w:rPr>
                <w:t>Abrir recurso</w:t>
              </w:r>
            </w:hyperlink>
          </w:p>
        </w:tc>
      </w:tr>
      <w:tr>
        <w:tc>
          <w:tcPr>
            <w:tcW w:type="dxa" w:w="3005"/>
            <w:tcMar>
              <w:top w:w="65" w:type="dxa"/>
              <w:start w:w="70" w:type="dxa"/>
              <w:bottom w:w="65" w:type="dxa"/>
              <w:end w:w="70" w:type="dxa"/>
            </w:tcMar>
            <w:vAlign w:val="top"/>
          </w:tcPr>
          <w:p>
            <w:r>
              <w:rPr>
                <w:rFonts w:ascii="Arial" w:hAnsi="Arial"/>
                <w:b/>
                <w:sz w:val="16"/>
              </w:rPr>
              <w:t>UNGRD – Caja de herramientas para el manejo de desastres</w:t>
            </w:r>
          </w:p>
        </w:tc>
        <w:tc>
          <w:tcPr>
            <w:tcW w:type="dxa" w:w="4989"/>
            <w:tcMar>
              <w:top w:w="65" w:type="dxa"/>
              <w:start w:w="70" w:type="dxa"/>
              <w:bottom w:w="65" w:type="dxa"/>
              <w:end w:w="70" w:type="dxa"/>
            </w:tcMar>
            <w:vAlign w:val="top"/>
          </w:tcPr>
          <w:p>
            <w:r>
              <w:rPr>
                <w:rFonts w:ascii="Arial" w:hAnsi="Arial"/>
                <w:sz w:val="16"/>
              </w:rPr>
              <w:t>Incluye formatos y documentos operativos del Sistema Nacional, entre ellos instrumentos relacionados con EDAN.</w:t>
            </w:r>
          </w:p>
        </w:tc>
        <w:tc>
          <w:tcPr>
            <w:tcW w:type="dxa" w:w="1644"/>
            <w:tcMar>
              <w:top w:w="65" w:type="dxa"/>
              <w:start w:w="70" w:type="dxa"/>
              <w:bottom w:w="65" w:type="dxa"/>
              <w:end w:w="70" w:type="dxa"/>
            </w:tcMar>
            <w:vAlign w:val="top"/>
          </w:tcPr>
          <w:p>
            <w:hyperlink r:id="rId21">
              <w:r>
                <w:rPr>
                  <w:color w:val="0077A8"/>
                  <w:u w:val="single"/>
                  <w:rFonts w:ascii="Arial" w:hAnsi="Arial"/>
                  <w:sz w:val="20"/>
                </w:rPr>
                <w:t>Abrir recurso</w:t>
              </w:r>
            </w:hyperlink>
          </w:p>
        </w:tc>
      </w:tr>
    </w:tbl>
    <w:p/>
    <w:p>
      <w:pPr>
        <w:pStyle w:val="Heading1"/>
      </w:pPr>
      <w:r>
        <w:t>13. Mensaje final para equipos territoriales</w:t>
      </w:r>
    </w:p>
    <w:p>
      <w:r>
        <w:t>Una emergencia puede convertir una barrera previa en una exclusión crítica: una escalera puede impedir recibir agua; una alerta solo sonora puede dejar a una persona sin información; la pérdida de un dispositivo de apoyo puede inmovilizar a alguien; el cierre de un servicio puede transferir toda la carga de cuidado a una mujer o a una adolescente. Por eso, evaluar inclusión no es agregar una casilla sobre discapacidad: es entender cómo el desastre modifica la posibilidad real de cada persona de estar segura, tomar decisiones, comunicarse, desplazarse, acceder a servicios y participar en la recuperación.</w:t>
      </w:r>
    </w:p>
    <w:p>
      <w:r>
        <w:t>La pregunta de cierre para cualquier equipo debería ser: ¿la información que recogimos permite tomar una decisión distinta y mejor para que las personas con discapacidad no queden atrás y puedan recuperar su autonomía y su vida en comunidad? Si la respuesta es no, todavía falta información.</w:t>
      </w:r>
    </w:p>
    <w:sectPr w:rsidR="00FC693F" w:rsidRPr="0006063C" w:rsidSect="00034616">
      <w:headerReference w:type="default" r:id="rId9"/>
      <w:footerReference w:type="default" r:id="rId10"/>
      <w:pgSz w:w="12240" w:h="15840"/>
      <w:pgMar w:top="907" w:right="964" w:bottom="907" w:left="964" w:header="454" w:footer="454"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left"/>
    </w:pPr>
    <w:r>
      <w:rPr>
        <w:rFonts w:ascii="Arial" w:hAnsi="Arial"/>
        <w:color w:val="546370"/>
        <w:sz w:val="16"/>
      </w:rPr>
      <w:t>Documento de trabajo para adaptación territorial · Colombia</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right"/>
    </w:pPr>
    <w:r>
      <w:rPr>
        <w:rFonts w:ascii="Arial" w:hAnsi="Arial"/>
        <w:color w:val="546370"/>
        <w:sz w:val="16"/>
      </w:rPr>
      <w:t>Guía práctica | Evaluación inclusiva de daños y necesidades posdesastre</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line="259" w:lineRule="auto"/>
    </w:pPr>
    <w:rPr>
      <w:rFonts w:ascii="Arial" w:hAnsi="Arial"/>
      <w:color w:val="232D37"/>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00" w:after="100"/>
      <w:outlineLvl w:val="0"/>
    </w:pPr>
    <w:rPr>
      <w:rFonts w:asciiTheme="majorHAnsi" w:eastAsiaTheme="majorEastAsia" w:hAnsiTheme="majorHAnsi" w:cstheme="majorBidi" w:ascii="Arial" w:hAnsi="Arial"/>
      <w:b/>
      <w:bCs/>
      <w:color w:val="009BDB"/>
      <w:sz w:val="32"/>
      <w:szCs w:val="28"/>
    </w:rPr>
  </w:style>
  <w:style w:type="paragraph" w:styleId="Heading2">
    <w:name w:val="heading 2"/>
    <w:basedOn w:val="Normal"/>
    <w:next w:val="Normal"/>
    <w:link w:val="Heading2Char"/>
    <w:uiPriority w:val="9"/>
    <w:unhideWhenUsed/>
    <w:qFormat/>
    <w:rsid w:val="00FC693F"/>
    <w:pPr>
      <w:keepNext/>
      <w:keepLines/>
      <w:spacing w:before="200" w:after="100"/>
      <w:outlineLvl w:val="1"/>
    </w:pPr>
    <w:rPr>
      <w:rFonts w:asciiTheme="majorHAnsi" w:eastAsiaTheme="majorEastAsia" w:hAnsiTheme="majorHAnsi" w:cstheme="majorBidi" w:ascii="Arial" w:hAnsi="Arial"/>
      <w:b/>
      <w:bCs/>
      <w:color w:val="232D37"/>
      <w:sz w:val="25"/>
      <w:szCs w:val="26"/>
    </w:rPr>
  </w:style>
  <w:style w:type="paragraph" w:styleId="Heading3">
    <w:name w:val="heading 3"/>
    <w:basedOn w:val="Normal"/>
    <w:next w:val="Normal"/>
    <w:link w:val="Heading3Char"/>
    <w:uiPriority w:val="9"/>
    <w:unhideWhenUsed/>
    <w:qFormat/>
    <w:rsid w:val="00FC693F"/>
    <w:pPr>
      <w:keepNext/>
      <w:keepLines/>
      <w:spacing w:before="200" w:after="100"/>
      <w:outlineLvl w:val="2"/>
    </w:pPr>
    <w:rPr>
      <w:rFonts w:asciiTheme="majorHAnsi" w:eastAsiaTheme="majorEastAsia" w:hAnsiTheme="majorHAnsi" w:cstheme="majorBidi" w:ascii="Arial" w:hAnsi="Arial"/>
      <w:b/>
      <w:bCs/>
      <w:color w:val="232D37"/>
      <w:sz w:val="22"/>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pBdr>
        <w:bottom w:val="single" w:sz="8" w:space="4" w:color="4F81BD" w:themeColor="accent1"/>
      </w:pBdr>
      <w:spacing w:after="100" w:line="240" w:lineRule="auto" w:before="0"/>
      <w:contextualSpacing/>
    </w:pPr>
    <w:rPr>
      <w:rFonts w:asciiTheme="majorHAnsi" w:eastAsiaTheme="majorEastAsia" w:hAnsiTheme="majorHAnsi" w:cstheme="majorBidi" w:ascii="Arial" w:hAnsi="Arial"/>
      <w:b/>
      <w:color w:val="009BDB"/>
      <w:spacing w:val="5"/>
      <w:kern w:val="28"/>
      <w:sz w:val="5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SubtleLead">
    <w:name w:val="Subtle Lead"/>
    <w:pPr>
      <w:spacing w:after="160" w:line="259" w:lineRule="auto"/>
    </w:pPr>
    <w:rPr>
      <w:rFonts w:ascii="Arial" w:hAnsi="Arial"/>
      <w:color w:val="546370"/>
      <w:sz w:val="24"/>
    </w:rPr>
  </w:style>
  <w:style w:type="paragraph" w:customStyle="1" w:styleId="Small">
    <w:name w:val="Small"/>
    <w:pPr>
      <w:spacing w:after="40"/>
    </w:pPr>
    <w:rPr>
      <w:rFonts w:ascii="Arial" w:hAnsi="Arial"/>
      <w:color w:val="546370"/>
      <w:sz w:val="17"/>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www.gfdrr.org/sites/default/files/PDNA-Volume-A_0.pdf" TargetMode="External"/><Relationship Id="rId12" Type="http://schemas.openxmlformats.org/officeDocument/2006/relationships/hyperlink" Target="https://inclusivosyresilientes.org/respuesta-humanitaria-inclusiva" TargetMode="External"/><Relationship Id="rId13" Type="http://schemas.openxmlformats.org/officeDocument/2006/relationships/hyperlink" Target="https://www.unicef.org/disabilities/emergencies/inclusive-humanitarian-action-toolkit" TargetMode="External"/><Relationship Id="rId14" Type="http://schemas.openxmlformats.org/officeDocument/2006/relationships/hyperlink" Target="https://www.unicef.org/documents/essential-actions-disability-inclusive-humanitarian-action-checklist" TargetMode="External"/><Relationship Id="rId15" Type="http://schemas.openxmlformats.org/officeDocument/2006/relationships/hyperlink" Target="https://data.unicef.org/resources/child-functioning-module-humanitarian-version/" TargetMode="External"/><Relationship Id="rId16" Type="http://schemas.openxmlformats.org/officeDocument/2006/relationships/hyperlink" Target="https://www.washingtongroup-disability.com/question-sets/wg-short-set-on-functioning-wg-ss/" TargetMode="External"/><Relationship Id="rId17" Type="http://schemas.openxmlformats.org/officeDocument/2006/relationships/hyperlink" Target="https://globalprotectioncluster.org/latest/publications/iasc-guidelines-persons-disabilities-humanitarian-action" TargetMode="External"/><Relationship Id="rId18" Type="http://schemas.openxmlformats.org/officeDocument/2006/relationships/hyperlink" Target="https://www.ohchr.org/sites/default/files/Ch_IV_15.pdf" TargetMode="External"/><Relationship Id="rId19" Type="http://schemas.openxmlformats.org/officeDocument/2006/relationships/hyperlink" Target="https://www.funcionpublica.gov.co/eva/gestornormativo/norma.php?i=47141" TargetMode="External"/><Relationship Id="rId20" Type="http://schemas.openxmlformats.org/officeDocument/2006/relationships/hyperlink" Target="https://www.funcionpublica.gov.co/eva/gestornormativo/norma.php?0=&amp;i=52081" TargetMode="External"/><Relationship Id="rId21" Type="http://schemas.openxmlformats.org/officeDocument/2006/relationships/hyperlink" Target="https://repositorio.gestiondelriesgo.gov.co/handle/20.500.11762/18505"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Guía para una Evaluación Inclusiva de Daños y Necesidades Posdesastre</dc:title>
  <dc:subject>Discapacidad, accesibilidad, respuesta humanitaria y recuperación en Colombia</dc:subject>
  <dc:creator>Documento de trabajo</dc:creator>
  <cp:keywords>PDNA, EDAN, discapacidad, inclusión, accesibilidad, recuperación, Colombia</cp:keywords>
  <dc:description>generated by python-docx</dc:description>
  <cp:lastModifiedBy/>
  <cp:revision>1</cp:revision>
  <dcterms:created xsi:type="dcterms:W3CDTF">2013-12-23T23:15:00Z</dcterms:created>
  <dcterms:modified xsi:type="dcterms:W3CDTF">2013-12-23T23:15:00Z</dcterms:modified>
  <cp:category/>
</cp:coreProperties>
</file>